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line="300" w:lineRule="auto"/>
        <w:rPr>
          <w:color w:val="444444"/>
          <w:sz w:val="15"/>
          <w:szCs w:val="15"/>
        </w:rPr>
      </w:pPr>
      <w:bookmarkStart w:colFirst="0" w:colLast="0" w:name="_qrdq55lm7c4o" w:id="0"/>
      <w:bookmarkEnd w:id="0"/>
      <w:r w:rsidDel="00000000" w:rsidR="00000000" w:rsidRPr="00000000">
        <w:rPr>
          <w:b w:val="1"/>
          <w:bCs w:val="1"/>
          <w:color w:val="101828"/>
          <w:sz w:val="48"/>
          <w:szCs w:val="48"/>
          <w:rtl w:val="0"/>
        </w:rPr>
        <w:t xml:space="preserve">SJP unveils new range of low-cost funds after fee restructure</w:t>
      </w:r>
      <w:r w:rsidDel="00000000" w:rsidR="00000000" w:rsidRPr="00000000">
        <w:fldChar w:fldCharType="begin"/>
        <w:instrText xml:space="preserve"> HYPERLINK "http://www.linkedin.com/shareArticle?mini=true&amp;url=https://www.moneymarketing.co.uk/news/sjp-unveils-new-range-of-low-cost-funds-after-fee-restructure/&amp;title=SJP%20unveils%20new%20range%20of%20low-cost%20funds%20after%20fee%20restructure"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color w:val="475467"/>
          <w:sz w:val="26"/>
          <w:szCs w:val="26"/>
          <w:rtl w:val="0"/>
        </w:rPr>
        <w:t xml:space="preserve">St. James’s Place (SJP) has unveiled a new low-cost fund range following the recent overhaul of its fee structure.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The wealth manager has expanded its investment offering with new Polaris Multi-Index range, priced at 0.20%.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The funds will use SJP’s active asset allocation expertise and invest solely in index- tracking strategies be available to SJP clients later this month.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SJP said this will provide advisers and clients with greater choice, expanding SJP’s multi-asset toolkit and sitting alongside the existing Polaris range.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Asset allocation decisions will be actively managed by SJP’s in-house investment team led by chief investment officer Justin Onuekwusi.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To support the launch, SJP has selected State Street Investment Management to develop 14 underlying index tracking funds, which will form the building blocks of the new multi-index range.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Each of the Polaris Multi-Index funds is differentiated by its equity exposure: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Polaris Multi-Index 1 – The lowest-risk option in the range, investing approximately 40% in equities. It is suited to clients who prefer lower levels of risk.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Polaris Multi-Index 2 – A balanced portfolio with around 60% in equities, offering moderate growth potential with the second-lowest level of risk.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Polaris Multi-Index 3 – Targets a higher growth profile by allocating roughly 80% to equities, designed for clients comfortable with a relatively high level of risk.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Polaris Multi-Index 4 – The highest-risk option, investing close to 100% in equities. It is aimed at long-term investors seeking higher returns and willing to accept greater risk in pursuit of growth.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Tom Beal, group investment director at SJP, said: “This new range broadens our offering by giving clients and partners access to a wider selection of competitively priced solutions designed to support their long-term financial goals.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“Some investors want to complement or diversify their active fund exposure, while others may prefer a more straightforward option. For many, cost is also a key factor, and index-trackers provide a lower-cost alternative.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“Our aim is to evolve our proposition, so it caters to the full spectrum of our clients’ needs.”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Onuekwusi, added: “At SJP we believe in giving clients genuine choice and in building muti-asset solutions that stand the test of time.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“Polaris has been a great foundation, bringing together world-class managers with our own global asset allocation views, growing into one of the UK’s largest and most successful multi-asset ranges.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“But we can’t stand still. The launch of our new Polaris Multi-Index funds is the natural next step in the development of our product offering.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“Alongside Polaris and InRetirement, the multi-index range represents our continued commitment to innovation, diversification, and resilience, ensuring our clients benefit from a proposition that is built to evolve with the world around us.”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="332.30769230769226" w:lineRule="auto"/>
        <w:rPr>
          <w:color w:val="475467"/>
          <w:sz w:val="26"/>
          <w:szCs w:val="26"/>
        </w:rPr>
      </w:pPr>
      <w:r w:rsidDel="00000000" w:rsidR="00000000" w:rsidRPr="00000000">
        <w:rPr>
          <w:color w:val="475467"/>
          <w:sz w:val="26"/>
          <w:szCs w:val="26"/>
          <w:rtl w:val="0"/>
        </w:rPr>
        <w:t xml:space="preserve">SJP has said it believes its new fee structure will </w:t>
      </w:r>
      <w:hyperlink r:id="rId6">
        <w:r w:rsidDel="00000000" w:rsidR="00000000" w:rsidRPr="00000000">
          <w:rPr>
            <w:color w:val="950614"/>
            <w:sz w:val="26"/>
            <w:szCs w:val="26"/>
            <w:rtl w:val="0"/>
          </w:rPr>
          <w:t xml:space="preserve">“help change the perception”</w:t>
        </w:r>
      </w:hyperlink>
      <w:r w:rsidDel="00000000" w:rsidR="00000000" w:rsidRPr="00000000">
        <w:rPr>
          <w:color w:val="475467"/>
          <w:sz w:val="26"/>
          <w:szCs w:val="26"/>
          <w:rtl w:val="0"/>
        </w:rPr>
        <w:t xml:space="preserve"> that it is too expensive.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news/sjp-says-new-fee-structure-will-help-change-perception-it-is-expens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