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ip7tmnvvsfpj" w:id="0"/>
      <w:bookmarkEnd w:id="0"/>
      <w:r w:rsidDel="00000000" w:rsidR="00000000" w:rsidRPr="00000000">
        <w:rPr>
          <w:b w:val="1"/>
          <w:bCs w:val="1"/>
          <w:color w:val="1b1b1b"/>
          <w:sz w:val="90"/>
          <w:szCs w:val="90"/>
          <w:rtl w:val="0"/>
        </w:rPr>
        <w:t xml:space="preserve">Why have financial advisers lost trust in these British investment houses?</w:t>
      </w:r>
    </w:p>
    <w:p w:rsidR="00000000" w:rsidDel="00000000" w:rsidP="00000000" w:rsidRDefault="00000000" w:rsidRPr="00000000" w14:paraId="00000002">
      <w:pPr>
        <w:pStyle w:val="Heading1"/>
        <w:keepNext w:val="0"/>
        <w:keepLines w:val="0"/>
        <w:spacing w:after="460" w:before="0" w:line="291.38399999999996" w:lineRule="auto"/>
        <w:rPr>
          <w:color w:val="1b1b1b"/>
          <w:sz w:val="27"/>
          <w:szCs w:val="27"/>
        </w:rPr>
      </w:pPr>
      <w:bookmarkStart w:colFirst="0" w:colLast="0" w:name="_8r0hvv91e8hm" w:id="1"/>
      <w:bookmarkEnd w:id="1"/>
      <w:r w:rsidDel="00000000" w:rsidR="00000000" w:rsidRPr="00000000">
        <w:rPr>
          <w:color w:val="1b1b1b"/>
          <w:sz w:val="27"/>
          <w:szCs w:val="27"/>
          <w:rtl w:val="0"/>
        </w:rPr>
        <w:t xml:space="preserve">St James’s Place, Aberdeen and Baillie Gifford have topped the table as the fund managers which have lost the most trust among UK financial advisers and discretionary fund managers in 2025.</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This is according to study carried out by the FT Commercial Insights team.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wide-ranging FT Fund Image UK 2025-26 study, shared with FT Adviser, canvassed the opinions of more than 500 financial advisers and advisers with discretionary permissions who read FT Adviser.</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Of the respondents, 78 per cent were financial advisers or planners, and 22 per cent were asset allocators or advisers with discretionary permissions.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Among the questions asked was: ‘Which companies do you feel have been the least trustworthy over the course of the past year?’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Based on the responses where respondents ranked fund managers 1, 2, or 3 in terms of loss of trustworthiness, the three least trusted, in order, were: </w:t>
      </w:r>
    </w:p>
    <w:p w:rsidR="00000000" w:rsidDel="00000000" w:rsidP="00000000" w:rsidRDefault="00000000" w:rsidRPr="00000000" w14:paraId="00000008">
      <w:pPr>
        <w:numPr>
          <w:ilvl w:val="0"/>
          <w:numId w:val="2"/>
        </w:numPr>
        <w:spacing w:after="0" w:afterAutospacing="0" w:before="280" w:lineRule="auto"/>
        <w:ind w:left="720" w:hanging="360"/>
      </w:pPr>
      <w:r w:rsidDel="00000000" w:rsidR="00000000" w:rsidRPr="00000000">
        <w:rPr>
          <w:color w:val="1b1b1b"/>
          <w:sz w:val="27"/>
          <w:szCs w:val="27"/>
          <w:rtl w:val="0"/>
        </w:rPr>
        <w:t xml:space="preserve">St James’s Place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color w:val="1b1b1b"/>
          <w:sz w:val="27"/>
          <w:szCs w:val="27"/>
          <w:rtl w:val="0"/>
        </w:rPr>
        <w:t xml:space="preserve">Aberdeen</w:t>
      </w:r>
    </w:p>
    <w:p w:rsidR="00000000" w:rsidDel="00000000" w:rsidP="00000000" w:rsidRDefault="00000000" w:rsidRPr="00000000" w14:paraId="0000000A">
      <w:pPr>
        <w:numPr>
          <w:ilvl w:val="0"/>
          <w:numId w:val="2"/>
        </w:numPr>
        <w:spacing w:after="280" w:before="0" w:beforeAutospacing="0" w:lineRule="auto"/>
        <w:ind w:left="720" w:hanging="360"/>
      </w:pPr>
      <w:r w:rsidDel="00000000" w:rsidR="00000000" w:rsidRPr="00000000">
        <w:rPr>
          <w:color w:val="1b1b1b"/>
          <w:sz w:val="27"/>
          <w:szCs w:val="27"/>
          <w:rtl w:val="0"/>
        </w:rPr>
        <w:t xml:space="preserve">Baillie Gifford</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Liontrust came a close fourth to Baillie Gifford. These were all UK fund management houses.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majority of respondents cited their reasons for loss of confidence as being: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Article continues after advert</w:t>
      </w:r>
    </w:p>
    <w:p w:rsidR="00000000" w:rsidDel="00000000" w:rsidP="00000000" w:rsidRDefault="00000000" w:rsidRPr="00000000" w14:paraId="0000000E">
      <w:pPr>
        <w:numPr>
          <w:ilvl w:val="0"/>
          <w:numId w:val="3"/>
        </w:numPr>
        <w:spacing w:after="0" w:afterAutospacing="0" w:before="280" w:lineRule="auto"/>
        <w:ind w:left="720" w:hanging="360"/>
      </w:pPr>
      <w:r w:rsidDel="00000000" w:rsidR="00000000" w:rsidRPr="00000000">
        <w:rPr>
          <w:color w:val="1b1b1b"/>
          <w:sz w:val="27"/>
          <w:szCs w:val="27"/>
          <w:rtl w:val="0"/>
        </w:rPr>
        <w:t xml:space="preserve">Underperformance — 34 per cent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color w:val="1b1b1b"/>
          <w:sz w:val="27"/>
          <w:szCs w:val="27"/>
          <w:rtl w:val="0"/>
        </w:rPr>
        <w:t xml:space="preserve">High fees/poor value for money — 17 per cent</w:t>
      </w:r>
    </w:p>
    <w:p w:rsidR="00000000" w:rsidDel="00000000" w:rsidP="00000000" w:rsidRDefault="00000000" w:rsidRPr="00000000" w14:paraId="00000010">
      <w:pPr>
        <w:numPr>
          <w:ilvl w:val="0"/>
          <w:numId w:val="3"/>
        </w:numPr>
        <w:spacing w:after="280" w:before="0" w:beforeAutospacing="0" w:lineRule="auto"/>
        <w:ind w:left="720" w:hanging="360"/>
      </w:pPr>
      <w:r w:rsidDel="00000000" w:rsidR="00000000" w:rsidRPr="00000000">
        <w:rPr>
          <w:color w:val="1b1b1b"/>
          <w:sz w:val="27"/>
          <w:szCs w:val="27"/>
          <w:rtl w:val="0"/>
        </w:rPr>
        <w:t xml:space="preserve">Poor client/ adviser service — 14 per cent</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By contrast, international giants and vertically integrated companies led the field in terms of ‘Most trustworthy asset manager servicing the UK retail and HNW segment’, with US passive fund giant Vanguard taking the lead.</w:t>
      </w:r>
    </w:p>
    <w:p w:rsidR="00000000" w:rsidDel="00000000" w:rsidP="00000000" w:rsidRDefault="00000000" w:rsidRPr="00000000" w14:paraId="00000012">
      <w:pPr>
        <w:spacing w:after="280" w:before="280" w:lineRule="auto"/>
        <w:rPr>
          <w:color w:val="1b1b1b"/>
          <w:sz w:val="20"/>
          <w:szCs w:val="20"/>
        </w:rPr>
      </w:pPr>
      <w:r w:rsidDel="00000000" w:rsidR="00000000" w:rsidRPr="00000000">
        <w:rPr>
          <w:color w:val="1b1b1b"/>
          <w:sz w:val="27"/>
          <w:szCs w:val="27"/>
          <w:rtl w:val="0"/>
        </w:rPr>
        <w:t xml:space="preserve">This was followed closely by Quilter and Rathbones in third place.</w:t>
      </w:r>
      <w:r w:rsidDel="00000000" w:rsidR="00000000" w:rsidRPr="00000000">
        <w:rPr>
          <w:rtl w:val="0"/>
        </w:rPr>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Qualities that formed the top reasons why advisers and DFMs had confidence in such companies were: </w:t>
      </w:r>
    </w:p>
    <w:p w:rsidR="00000000" w:rsidDel="00000000" w:rsidP="00000000" w:rsidRDefault="00000000" w:rsidRPr="00000000" w14:paraId="00000014">
      <w:pPr>
        <w:numPr>
          <w:ilvl w:val="0"/>
          <w:numId w:val="1"/>
        </w:numPr>
        <w:spacing w:after="0" w:afterAutospacing="0" w:before="280" w:lineRule="auto"/>
        <w:ind w:left="720" w:hanging="360"/>
      </w:pPr>
      <w:r w:rsidDel="00000000" w:rsidR="00000000" w:rsidRPr="00000000">
        <w:rPr>
          <w:color w:val="1b1b1b"/>
          <w:sz w:val="27"/>
          <w:szCs w:val="27"/>
          <w:rtl w:val="0"/>
        </w:rPr>
        <w:t xml:space="preserve">Transparency and clear communications — 22 per cent</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Track record, consistency and performance — 18 per cent </w:t>
      </w:r>
    </w:p>
    <w:p w:rsidR="00000000" w:rsidDel="00000000" w:rsidP="00000000" w:rsidRDefault="00000000" w:rsidRPr="00000000" w14:paraId="00000016">
      <w:pPr>
        <w:numPr>
          <w:ilvl w:val="0"/>
          <w:numId w:val="1"/>
        </w:numPr>
        <w:spacing w:after="280" w:before="0" w:beforeAutospacing="0" w:lineRule="auto"/>
        <w:ind w:left="720" w:hanging="360"/>
      </w:pPr>
      <w:r w:rsidDel="00000000" w:rsidR="00000000" w:rsidRPr="00000000">
        <w:rPr>
          <w:color w:val="1b1b1b"/>
          <w:sz w:val="27"/>
          <w:szCs w:val="27"/>
          <w:rtl w:val="0"/>
        </w:rPr>
        <w:t xml:space="preserve">Heritage, brand and scale; Service quality, access and relationships — each at 14 per cent.</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When it comes to what advisers felt was a mark trustworthiness, cost only garnered 10 per cent of the votes, indicating that cost is not a primary consideration when it comes to choosing fund managers.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According to the comments, advisers valued “Trusted relationships, proactive communication and real support”.</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It should be noted the fielding period of the survey was between May/June 2025, so many of the advisers’ and DFM’s responses will not account for any changes providers have made in the second half of 2025. </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With that in mind, the article focuses on the top four asset managers, in whom advisers said they had lost confidence.</w:t>
      </w:r>
    </w:p>
    <w:p w:rsidR="00000000" w:rsidDel="00000000" w:rsidP="00000000" w:rsidRDefault="00000000" w:rsidRPr="00000000" w14:paraId="0000001B">
      <w:pPr>
        <w:spacing w:after="280" w:before="280" w:lineRule="auto"/>
        <w:rPr>
          <w:b w:val="1"/>
          <w:bCs w:val="1"/>
          <w:color w:val="1b1b1b"/>
          <w:sz w:val="49"/>
          <w:szCs w:val="49"/>
        </w:rPr>
      </w:pPr>
      <w:r w:rsidDel="00000000" w:rsidR="00000000" w:rsidRPr="00000000">
        <w:rPr>
          <w:b w:val="1"/>
          <w:bCs w:val="1"/>
          <w:color w:val="1b1b1b"/>
          <w:sz w:val="49"/>
          <w:szCs w:val="49"/>
          <w:rtl w:val="0"/>
        </w:rPr>
        <w:t xml:space="preserve">1) St James’s Place</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Verbatim responses from advisers, when asked why they felt that they had lost faith in the FTSE 100 listed company, included comments relating to charges. </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One anonymous adviser, from a firm managing up to £10mn in client assets, commented: “St. James’s Place has faced mounting scrutiny over its charging structures.</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“This has resulted in substantial provisions being set aside for client redress, damaging both trust and the firm’s reputation.”</w:t>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In 2024, SJP announced it would overhaul its fee model after mounting pressure. These changes came into effect in H2 2025.</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It is understood SJP has set aside £320mn for potential redress claims.</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The adviser added: “These issues, combined with a perceived lack of value in investment performance relative to fees, have raised serious questions about governance, oversight, and long-term client alignment.”</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A spokesman for SJP noted the survey was carried out before the changes it made to its charging structure in the second half of the year, or the introduction of its Polaris Multi-Index range.</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The spokesperson said: “St. James’s Place operates a vertically integrated Partnership model rather than an IFA platform, meaning respondents to this survey do not use our proposition, systems, or investment approach. </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“Following the introduction of our new charging structure to improve transparency and comparability, client trust remains strong, reflected in retention above 95 per cent. </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“The experience of our clients and partners is our priority, and we are focused on delivering high-quality advice and long-term outcomes for our growing client base.”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