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jaalswduau3v" w:id="0"/>
      <w:bookmarkEnd w:id="0"/>
      <w:r w:rsidDel="00000000" w:rsidR="00000000" w:rsidRPr="00000000">
        <w:rPr>
          <w:b w:val="1"/>
          <w:bCs w:val="1"/>
          <w:color w:val="1b1b1b"/>
          <w:sz w:val="90"/>
          <w:szCs w:val="90"/>
          <w:rtl w:val="0"/>
        </w:rPr>
        <w:t xml:space="preserve">Clients turned to St James’s Place in pre-budget turmoil</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zigm6kdqodue" w:id="1"/>
      <w:bookmarkEnd w:id="1"/>
      <w:r w:rsidDel="00000000" w:rsidR="00000000" w:rsidRPr="00000000">
        <w:rPr>
          <w:sz w:val="50"/>
          <w:szCs w:val="50"/>
          <w:rtl w:val="0"/>
        </w:rPr>
        <w:t xml:space="preserve">Wealth manager pulled in almost £22 billion of new business last year, but had to deal with nerves over what tax measures Rachel Reeves would announce</w:t>
      </w:r>
    </w:p>
    <w:p w:rsidR="00000000" w:rsidDel="00000000" w:rsidP="00000000" w:rsidRDefault="00000000" w:rsidRPr="00000000" w14:paraId="00000003">
      <w:pPr>
        <w:spacing w:after="320" w:before="0" w:lineRule="auto"/>
        <w:rPr>
          <w:color w:val="1b1b1b"/>
          <w:sz w:val="27"/>
          <w:szCs w:val="27"/>
        </w:rPr>
      </w:pPr>
      <w:r w:rsidDel="00000000" w:rsidR="00000000" w:rsidRPr="00000000">
        <w:rPr>
          <w:rtl w:val="0"/>
        </w:rPr>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country’s biggest wealth manager weathered the turmoil caused by the budget to pull in almost £22 billion of new business last year, cementing its status as the favoured steward of Middle England’s nest eggs. </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An update from St James’s Place on Thursday showed the assets overseen by the FTSE 100 company hit a record £220 billion at the end of December, boosted by inflows of client money as well as investment gains enjoyed by its funds.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It attracted a gross £21.9 billion of new money over the year, up 19 per cent on 2024 and resulting in a net inflow of about £6.2 billion once withdrawals are taken into account. The business received a further £23.6 billion lift from investment returns. </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Business newsletter</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business editor’s exclusive analysis of all the latest financial and economic news.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Stock market investors responded to the figures by sending its shares up 14p, or 0.9 per cent, to £15.19½ by Thursday’s close.</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Mark FitzPatrick, the wealth manager’s chief executive, said it had benefited from clients turning to it for help amid nervousness in the run-up to the government’s budget in the autumn.</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Rumours were rife about possible tax-raising measures the chancellor might unveil in the weeks before she set out her plans in late November. This created a headwind for wealth managers, as some clients rushed to pull money from their pensions over fears, which later proved to be unfounded, that Rachel Reeves might cut tax-free pension lump sum withdrawals.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Yet the budget turbulence also boosted demand for the guidance that wealth managers provide.</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FitzPatrick said: “The final quarter was marked by protracted speculation in the lead-up to the autumn budget at the end of November and our new business performance reflected clients’ desire for trusted advice amid this period of heightened uncertainty.”</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Even so, its figures for the final three months of the year bear the scars of “elevated short-term outflows, as many clients accelerated tax-free cash withdrawals from their pensions”, although FitzPatrick said that trends had normalised by the end of the year. This pensions uncertainty meant net inflows in the fourth quarter shrank to £570 million, from £1.53 billion a year earlier.</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The Cirencester-based St James’s Place operates using a network of thousands of self-employed financial advisers and has become the country’s leading wealth manager since it was founded in 1991. However, it has struggled in recent years, attracting criticism for its </w:t>
      </w:r>
      <w:hyperlink r:id="rId6">
        <w:r w:rsidDel="00000000" w:rsidR="00000000" w:rsidRPr="00000000">
          <w:rPr>
            <w:color w:val="416ed2"/>
            <w:sz w:val="27"/>
            <w:szCs w:val="27"/>
            <w:rtl w:val="0"/>
          </w:rPr>
          <w:t xml:space="preserve">complicated fees</w:t>
        </w:r>
      </w:hyperlink>
      <w:r w:rsidDel="00000000" w:rsidR="00000000" w:rsidRPr="00000000">
        <w:rPr>
          <w:color w:val="1b1b1b"/>
          <w:sz w:val="27"/>
          <w:szCs w:val="27"/>
          <w:rtl w:val="0"/>
        </w:rPr>
        <w:t xml:space="preserve"> and for the perks it used to hand to its top-performing advisers.</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A clampdown on these perks occurred under FitzPatrick’s predecessor Andrew Croft, who was also forced to announce two revamps of the company’s </w:t>
      </w:r>
      <w:hyperlink r:id="rId7">
        <w:r w:rsidDel="00000000" w:rsidR="00000000" w:rsidRPr="00000000">
          <w:rPr>
            <w:color w:val="416ed2"/>
            <w:sz w:val="27"/>
            <w:szCs w:val="27"/>
            <w:rtl w:val="0"/>
          </w:rPr>
          <w:t xml:space="preserve">lucrative fees system</w:t>
        </w:r>
      </w:hyperlink>
      <w:r w:rsidDel="00000000" w:rsidR="00000000" w:rsidRPr="00000000">
        <w:rPr>
          <w:color w:val="1b1b1b"/>
          <w:sz w:val="27"/>
          <w:szCs w:val="27"/>
          <w:rtl w:val="0"/>
        </w:rPr>
        <w:t xml:space="preserve"> in response to regulatory pressure, causing the group’s shares to tumble in 2023.</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FitzPatrick has since steered a revival of the business, </w:t>
      </w:r>
      <w:hyperlink r:id="rId8">
        <w:r w:rsidDel="00000000" w:rsidR="00000000" w:rsidRPr="00000000">
          <w:rPr>
            <w:color w:val="416ed2"/>
            <w:sz w:val="27"/>
            <w:szCs w:val="27"/>
            <w:rtl w:val="0"/>
          </w:rPr>
          <w:t xml:space="preserve">a turnaround</w:t>
        </w:r>
      </w:hyperlink>
      <w:r w:rsidDel="00000000" w:rsidR="00000000" w:rsidRPr="00000000">
        <w:rPr>
          <w:color w:val="1b1b1b"/>
          <w:sz w:val="27"/>
          <w:szCs w:val="27"/>
          <w:rtl w:val="0"/>
        </w:rPr>
        <w:t xml:space="preserve"> that has included refunding clients who were charged for services they had not received in previous years. It was originally braced for a £426 million hit from the affair but disclosed last July that it had pared back the sum it had set aside to compensate customers to £320 million.</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etimes.com/money/saving-investing/article/from-threats-to-inviting-us-to-tea-sjp-changes-its-tune-and-fees-t5kmfh65r" TargetMode="External"/><Relationship Id="rId7" Type="http://schemas.openxmlformats.org/officeDocument/2006/relationships/hyperlink" Target="https://www.thetimes.com/money/saving-investing/article/sjp-investors-restructure-delayed-higher-fees-hgk3g3fcn" TargetMode="External"/><Relationship Id="rId8" Type="http://schemas.openxmlformats.org/officeDocument/2006/relationships/hyperlink" Target="https://www.thetimes.com/business/companies-markets/article/st-jamess-place-doubles-inflows-as-turnaround-bears-fruit-ns0fq9gq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