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v6fhq245por1" w:id="0"/>
      <w:bookmarkEnd w:id="0"/>
      <w:r w:rsidDel="00000000" w:rsidR="00000000" w:rsidRPr="00000000">
        <w:rPr>
          <w:b w:val="1"/>
          <w:bCs w:val="1"/>
          <w:color w:val="1b1b1b"/>
          <w:sz w:val="90"/>
          <w:szCs w:val="90"/>
          <w:rtl w:val="0"/>
        </w:rPr>
        <w:t xml:space="preserve">Royal London pays out £751mn in protection claims</w:t>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Royal London paid out more than £751mn in protection claims in 2024, helping 65,385 families and businesses.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proportion paid represents 98.7 per cent of all claims made and is the first set of numbers that include policies from the transfer of</w:t>
      </w:r>
      <w:hyperlink r:id="rId6">
        <w:r w:rsidDel="00000000" w:rsidR="00000000" w:rsidRPr="00000000">
          <w:rPr>
            <w:color w:val="416ed2"/>
            <w:sz w:val="27"/>
            <w:szCs w:val="27"/>
            <w:rtl w:val="0"/>
          </w:rPr>
          <w:t xml:space="preserve"> </w:t>
        </w:r>
      </w:hyperlink>
      <w:r w:rsidDel="00000000" w:rsidR="00000000" w:rsidRPr="00000000">
        <w:rPr>
          <w:sz w:val="27"/>
          <w:szCs w:val="27"/>
          <w:rtl w:val="0"/>
        </w:rPr>
        <w:t xml:space="preserve">Aegon’s individual protection business</w:t>
      </w:r>
      <w:r w:rsidDel="00000000" w:rsidR="00000000" w:rsidRPr="00000000">
        <w:rPr>
          <w:color w:val="1b1b1b"/>
          <w:sz w:val="27"/>
          <w:szCs w:val="27"/>
          <w:rtl w:val="0"/>
        </w:rPr>
        <w:t xml:space="preserve"> on July 1, 2024.</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In 2024, Royal London paid nearly £270mn in term life and terminal illness claims, with an average payout of nearly £93,000 for life claims and £132,000 for terminal illness claims.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It paid over £180mn of critical illness claims, helping 2,675 customers and their families, with an average payment of over £67,000. </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This represented 89.7 per cent of all critical illness claims paid and the most common conditions clients claimed for were cancer (64 per cent), heart attack (10 per cent) and stroke (9 per cent).</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There was over £8mn paid in income protection</w:t>
      </w:r>
      <w:hyperlink r:id="rId7">
        <w:r w:rsidDel="00000000" w:rsidR="00000000" w:rsidRPr="00000000">
          <w:rPr>
            <w:color w:val="416ed2"/>
            <w:sz w:val="27"/>
            <w:szCs w:val="27"/>
            <w:rtl w:val="0"/>
          </w:rPr>
          <w:t xml:space="preserve"> </w:t>
        </w:r>
      </w:hyperlink>
      <w:r w:rsidDel="00000000" w:rsidR="00000000" w:rsidRPr="00000000">
        <w:rPr>
          <w:color w:val="1b1b1b"/>
          <w:sz w:val="27"/>
          <w:szCs w:val="27"/>
          <w:rtl w:val="0"/>
        </w:rPr>
        <w:t xml:space="preserve">claims, helping to improve the financial resilience of 1,259 customers who were unable to work and represented 86.8 per cent of income protection claims.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Craig Paterson, chief underwriter at Royal London, said: “Publishing our claims statistics shows how crucial it is to have a financial safety net for when the unexpected happens.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rtl w:val="0"/>
        </w:rPr>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“Paying a claim is our moment of truth — and in 2024 we delivered on that promise, with a record-breaking year for claims paid to customers.”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Royal London said its Helping Hand offers health and wellbeing services at any stage of the policy’s duration.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In 2024, over 5,000 customers registered for Helping Hand, allowing them to access additional assistance such as virtual GP consultations, musculoskeletal therapies, physiotherapy, and mental health support.</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firm said it was a lifeline for around one thousand customers and their families last year who received support with a cancer diagnosis (19 per cent), mental health wellbeing (17 per cent), musculoskeletal issues (17 per cent) and bereavement support (13 per cent).</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Recent extensions to Helping Hand include preventive services such as mental health support through Thrive and musculoskeletal advice through Track Active Me.</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youngest customer Royal London paid a claim for was 19 years old, and a quarter of claims were for those under the age of 45.</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Paterson added: “While we have always had a strong track record in paying claims, we’re always looking to improve the claims experience for our customers, making it easier for them to claim and pay claims faster. </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“For instance, we’re now able to settle more life insurance claims without requiring medical evidence.”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adviser.com/protection/2023/04/04/royal-london-buys-aegon-uk-s-individual-protection-book/" TargetMode="External"/><Relationship Id="rId7" Type="http://schemas.openxmlformats.org/officeDocument/2006/relationships/hyperlink" Target="https://www.ftadviser.com/pro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