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460" w:before="0" w:line="291.38399999999996" w:lineRule="auto"/>
        <w:rPr>
          <w:b w:val="1"/>
          <w:bCs w:val="1"/>
          <w:color w:val="1b1b1b"/>
          <w:sz w:val="90"/>
          <w:szCs w:val="90"/>
        </w:rPr>
      </w:pPr>
      <w:bookmarkStart w:colFirst="0" w:colLast="0" w:name="_fap6hew59lej" w:id="0"/>
      <w:bookmarkEnd w:id="0"/>
      <w:r w:rsidDel="00000000" w:rsidR="00000000" w:rsidRPr="00000000">
        <w:rPr>
          <w:b w:val="1"/>
          <w:bCs w:val="1"/>
          <w:color w:val="1b1b1b"/>
          <w:sz w:val="90"/>
          <w:szCs w:val="90"/>
          <w:rtl w:val="0"/>
        </w:rPr>
        <w:t xml:space="preserve">Royal London pays £751m in protection claims in 2024</w:t>
      </w:r>
    </w:p>
    <w:p w:rsidR="00000000" w:rsidDel="00000000" w:rsidP="00000000" w:rsidRDefault="00000000" w:rsidRPr="00000000" w14:paraId="00000002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Royal London paid out more than £751m in protection claims last year, according to figures published today (23 June) by the mutual insurer.</w:t>
      </w:r>
    </w:p>
    <w:p w:rsidR="00000000" w:rsidDel="00000000" w:rsidP="00000000" w:rsidRDefault="00000000" w:rsidRPr="00000000" w14:paraId="00000003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The payouts supported 65,385 families and businesses through bereavement, illness and income disruption in 2024, with 98.7% of all claims accepted.</w:t>
      </w:r>
    </w:p>
    <w:p w:rsidR="00000000" w:rsidDel="00000000" w:rsidP="00000000" w:rsidRDefault="00000000" w:rsidRPr="00000000" w14:paraId="00000004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This marks the first claims data to partially reflect policies from Aegon’s individual protection business, which formally transferred to Royal London on 1 July 2024.</w:t>
      </w:r>
    </w:p>
    <w:p w:rsidR="00000000" w:rsidDel="00000000" w:rsidP="00000000" w:rsidRDefault="00000000" w:rsidRPr="00000000" w14:paraId="00000005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In 2024, Royal London paid: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280" w:lineRule="auto"/>
        <w:ind w:left="720" w:hanging="360"/>
      </w:pPr>
      <w:r w:rsidDel="00000000" w:rsidR="00000000" w:rsidRPr="00000000">
        <w:rPr>
          <w:b w:val="1"/>
          <w:bCs w:val="1"/>
          <w:color w:val="1b1b1b"/>
          <w:sz w:val="27"/>
          <w:szCs w:val="27"/>
          <w:rtl w:val="0"/>
        </w:rPr>
        <w:t xml:space="preserve">£270m</w:t>
      </w:r>
      <w:r w:rsidDel="00000000" w:rsidR="00000000" w:rsidRPr="00000000">
        <w:rPr>
          <w:color w:val="1b1b1b"/>
          <w:sz w:val="27"/>
          <w:szCs w:val="27"/>
          <w:rtl w:val="0"/>
        </w:rPr>
        <w:t xml:space="preserve"> in term life and terminal-illness claims, with average payouts of £93,000 for life claims and £132,000 for terminal illness.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1b1b1b"/>
          <w:sz w:val="27"/>
          <w:szCs w:val="27"/>
          <w:rtl w:val="0"/>
        </w:rPr>
        <w:t xml:space="preserve">£180m</w:t>
      </w:r>
      <w:r w:rsidDel="00000000" w:rsidR="00000000" w:rsidRPr="00000000">
        <w:rPr>
          <w:color w:val="1b1b1b"/>
          <w:sz w:val="27"/>
          <w:szCs w:val="27"/>
          <w:rtl w:val="0"/>
        </w:rPr>
        <w:t xml:space="preserve"> in critical-illness claims, helping 2,675 customers. The average payout was £67,000, with cancer accounting for 64% of claims, followed by heart attack (10%) and stroke (9%). The critical-illness claims payout rate stood at 89.7%.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1b1b1b"/>
          <w:sz w:val="27"/>
          <w:szCs w:val="27"/>
          <w:rtl w:val="0"/>
        </w:rPr>
        <w:t xml:space="preserve">£8m</w:t>
      </w:r>
      <w:r w:rsidDel="00000000" w:rsidR="00000000" w:rsidRPr="00000000">
        <w:rPr>
          <w:color w:val="1b1b1b"/>
          <w:sz w:val="27"/>
          <w:szCs w:val="27"/>
          <w:rtl w:val="0"/>
        </w:rPr>
        <w:t xml:space="preserve"> in income protection claims, supporting 1,259 customers. The payout rate was 86.8%.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80" w:before="0" w:beforeAutospacing="0" w:lineRule="auto"/>
        <w:ind w:left="720" w:hanging="360"/>
      </w:pPr>
      <w:r w:rsidDel="00000000" w:rsidR="00000000" w:rsidRPr="00000000">
        <w:rPr>
          <w:b w:val="1"/>
          <w:bCs w:val="1"/>
          <w:color w:val="1b1b1b"/>
          <w:sz w:val="27"/>
          <w:szCs w:val="27"/>
          <w:rtl w:val="0"/>
        </w:rPr>
        <w:t xml:space="preserve">£286m</w:t>
      </w:r>
      <w:r w:rsidDel="00000000" w:rsidR="00000000" w:rsidRPr="00000000">
        <w:rPr>
          <w:color w:val="1b1b1b"/>
          <w:sz w:val="27"/>
          <w:szCs w:val="27"/>
          <w:rtl w:val="0"/>
        </w:rPr>
        <w:t xml:space="preserve"> in whole-of-life claims, with 99.98% paid. The average payout was £5,000.</w:t>
      </w:r>
    </w:p>
    <w:p w:rsidR="00000000" w:rsidDel="00000000" w:rsidP="00000000" w:rsidRDefault="00000000" w:rsidRPr="00000000" w14:paraId="0000000A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Royal London’s </w:t>
      </w:r>
      <w:r w:rsidDel="00000000" w:rsidR="00000000" w:rsidRPr="00000000">
        <w:rPr>
          <w:i w:val="1"/>
          <w:iCs w:val="1"/>
          <w:color w:val="1b1b1b"/>
          <w:sz w:val="27"/>
          <w:szCs w:val="27"/>
          <w:rtl w:val="0"/>
        </w:rPr>
        <w:t xml:space="preserve">Helping Hand</w:t>
      </w:r>
      <w:r w:rsidDel="00000000" w:rsidR="00000000" w:rsidRPr="00000000">
        <w:rPr>
          <w:color w:val="1b1b1b"/>
          <w:sz w:val="27"/>
          <w:szCs w:val="27"/>
          <w:rtl w:val="0"/>
        </w:rPr>
        <w:t xml:space="preserve"> service, which provides health and wellbeing support throughout the policy, saw over 5,000 customer registrations in 2024.</w:t>
      </w:r>
    </w:p>
    <w:p w:rsidR="00000000" w:rsidDel="00000000" w:rsidP="00000000" w:rsidRDefault="00000000" w:rsidRPr="00000000" w14:paraId="0000000B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The service includes virtual GP appointments, physiotherapy and support for carers. In 2024, Royal London expanded </w:t>
      </w:r>
      <w:r w:rsidDel="00000000" w:rsidR="00000000" w:rsidRPr="00000000">
        <w:rPr>
          <w:i w:val="1"/>
          <w:iCs w:val="1"/>
          <w:color w:val="1b1b1b"/>
          <w:sz w:val="27"/>
          <w:szCs w:val="27"/>
          <w:rtl w:val="0"/>
        </w:rPr>
        <w:t xml:space="preserve">Helping Hand</w:t>
      </w:r>
      <w:r w:rsidDel="00000000" w:rsidR="00000000" w:rsidRPr="00000000">
        <w:rPr>
          <w:color w:val="1b1b1b"/>
          <w:sz w:val="27"/>
          <w:szCs w:val="27"/>
          <w:rtl w:val="0"/>
        </w:rPr>
        <w:t xml:space="preserve"> to include proactive services such as mental-health support via Thrive and musculoskeletal guidance from TrackActiveMe.</w:t>
      </w:r>
    </w:p>
    <w:p w:rsidR="00000000" w:rsidDel="00000000" w:rsidP="00000000" w:rsidRDefault="00000000" w:rsidRPr="00000000" w14:paraId="0000000C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Claims data also highlighted the importance of protection across age groups. The youngest claimant was 19 years old, and a quarter of all claims were for individuals under 45.</w:t>
      </w:r>
    </w:p>
    <w:p w:rsidR="00000000" w:rsidDel="00000000" w:rsidP="00000000" w:rsidRDefault="00000000" w:rsidRPr="00000000" w14:paraId="0000000D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Craig Paterson, chief underwriter at Royal London, said: “Publishing our claims statistics shows how crucial it is to have a financial safety net for when the unexpected happens. Paying a claim is our moment of truth – and in 2024 we delivered on that promise, with a record-breaking year for claims paid to customers.”</w:t>
      </w:r>
    </w:p>
    <w:p w:rsidR="00000000" w:rsidDel="00000000" w:rsidP="00000000" w:rsidRDefault="00000000" w:rsidRPr="00000000" w14:paraId="0000000E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Paterson said the firm is focused on improving the customer experience, including faster payments and fewer evidence requirements for life-insurance claims.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1b1b1b"/>
        <w:sz w:val="27"/>
        <w:szCs w:val="27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