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pg3rzovyqj67" w:id="0"/>
      <w:bookmarkEnd w:id="0"/>
      <w:r w:rsidDel="00000000" w:rsidR="00000000" w:rsidRPr="00000000">
        <w:rPr>
          <w:b w:val="1"/>
          <w:bCs w:val="1"/>
          <w:color w:val="1b1b1b"/>
          <w:sz w:val="90"/>
          <w:szCs w:val="90"/>
          <w:rtl w:val="0"/>
        </w:rPr>
        <w:t xml:space="preserve">Millions of people to get share of £199million in days as major provider pays out</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pddbj5hslku5" w:id="1"/>
      <w:bookmarkEnd w:id="1"/>
      <w:r w:rsidDel="00000000" w:rsidR="00000000" w:rsidRPr="00000000">
        <w:rPr>
          <w:sz w:val="50"/>
          <w:szCs w:val="50"/>
          <w:rtl w:val="0"/>
        </w:rPr>
        <w:t xml:space="preserve">It comes after the company saw its operating profit rise by 18% to £327million as new business sales rose 13% to £12.2billion</w:t>
      </w:r>
    </w:p>
    <w:p w:rsidR="00000000" w:rsidDel="00000000" w:rsidP="00000000" w:rsidRDefault="00000000" w:rsidRPr="00000000" w14:paraId="00000003">
      <w:pPr>
        <w:spacing w:after="320" w:before="0" w:lineRule="auto"/>
        <w:rPr>
          <w:color w:val="1155cc"/>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Royal London is to share £199million with around 2.4 million eligible customers after its annual earnings jumped.</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money will be paid into its customers’ pensions and stocks and shares ISAs on April 1. The amount each person will get is based on the value of the pension or ISA savings they have invested with Royal London.</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It brings the total paid under the Royal London profit share scheme to more than £2billion since 2007.</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It comes after Royal London saw its operating profit rise by 18% to £327million as new business sales rose 13% to £12.2billion. Underlying pre-tax profits lifted by £1 million to £261 million.</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