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9me5dyn6se8p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Millions to receive pension boost in days as major provider pays out after £327m profit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v5p376if3hlg" w:id="1"/>
      <w:bookmarkEnd w:id="1"/>
      <w:r w:rsidDel="00000000" w:rsidR="00000000" w:rsidRPr="00000000">
        <w:rPr>
          <w:sz w:val="50"/>
          <w:szCs w:val="50"/>
          <w:rtl w:val="0"/>
        </w:rPr>
        <w:t xml:space="preserve">It comes after the company saw an 18% jump in profits in the 2025 financial year, raking in £327million.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major UK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pensions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life insurance provider is set to share £199million with some 2.4 million eligible customers in days after a nearly 20% increase in annual earnings. Royal London will pay the money into customers’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pensions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stocks and shares ISAs on April 1, with the amount each person gets based on the value of 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pension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or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ISA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savings they have invested with them.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It's part of an existing profit share scheme launched by Royal London back in 2007. The £199million boost will bring the total amount paid out to £2billion so far. It comes after the company saw an 18% jump in profits in the 2025 financial year, raking in £327million.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Meanwhile new business sales saw a 13% uptick to £12.2billion, while underlying pre-tax profits rose by £1 million to £261m, as reported by The Mirror.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Barry O’Dwyer, Royal London group chief executive, said: “We’re owned by our customers and, when we do well, they share in our success.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April, Royal London will share £199 million with eligible customers through ProfitShare, bringing the total shared since 2007 to over £2 billion – a tangible demonstration of mutuality in action.”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added: “We recorded another strong performance in 2025 with operating profit up 18%, reflecting the positive momentum across our business.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was supported by our first full year in the bulk purchase annuities market, where we secured a series of key transactions as trustees and advisers valued the stability and long-term commitment that a mutual can offer.”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Meanwhile, in September Royal London launched its new stocks and shares ISA, which also supports a profit share scheme.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Additionally, this year the group is launching its “targeted support” initiative under a new scheme being brought in by the Financial Conduct Authority (FCA) designed to be a bridge between generic guidance and individual advice.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said: “Following the changes announced in the budgets over the last 18 months – around inheritance tax, cash ISA contributions and salary sacrifice pension contributions – it is likely that many people will need to reassess the ways in which they save for the future.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“However, with only 9% of the UK population paying for personal financial advice, the vast majority of customers are navigating complex financial decisions on their own.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modelling suggests that Targeted Support could benefit 21.5 million people in the UK through the actionable advice it provides.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2026, Royal London will launch our Targeted Support offering, designed to complement our continued commitment to offering advisers the support and tools they need to deliver positive outcomes to their clients.”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