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s2bjx95vy5oc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issues huge update about payout to more than 2m customers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x2jymthivvhj" w:id="1"/>
      <w:bookmarkEnd w:id="1"/>
      <w:r w:rsidDel="00000000" w:rsidR="00000000" w:rsidRPr="00000000">
        <w:rPr>
          <w:sz w:val="50"/>
          <w:szCs w:val="50"/>
          <w:rtl w:val="0"/>
        </w:rPr>
        <w:t xml:space="preserve">The company, which offers life insurance, pensions and retirement planning, said 2.3 million customers would benefit from the payout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Millions of Royal London customers are set to share a £181m payout after the investment group saw an increase in its annual profit and wage rises boosted pension savings.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London, which provides life insurance, pensions and retirement planning, announced that 2.3 million customers would reap the benefits of this payout. As a mutual company - owned by individual customers rather than shareholders and investors - Royal London will distribute £181 million to eligible customers with pensions and life policies in April, marking a rise from last year's £163m.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increase follows Royal London’s report of higher earnings for the year, with an operating pre-tax profit of £277m, up about a tenth from 2023. The number of workplace pensions transferring to Royal London increased by 39% year-on-year, while it also welcomed nearly 1,000 new employer workplace schemes, often switching from a shareholder-owned competitor.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attributed the growth of the UK pension market last year to employees receiving pay rises and a relatively high employment rate. However, Royal London also noted an uptick in customers withdrawing money from pension pots due to ongoing cost-of-living pressures for many households.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Moreover, speculation prior to October's autumn Budget statement about potential changes to access to tax-free cash through pensions led to increased levels of withdrawals among worried consumers.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