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clz3anl69b2v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broadens income protection 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refreshed its Income Protection occupation classes to reflect changing working patterns, including freelancing, gig work and multiple jobs.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provider said the changes recognise that modern careers no longer follow a straightforward, linear path and are designed to better support individuals whose working lives span a range of roles and arrangements.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Following a review of its proposition, Royal London has improved terms for more than 700 occupations.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opened up terms for 545 roles and reduced pricing across 162 occupations, allowing a broader range of professions to access more competitive cover.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the review also identified around 70 occupations where risk profiles have increased, resulting in price adjustments for those roles.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part of the update, Royal London has enhanced total permanent disability (TPD) definitions for 67 occupations, moving them from a working tasks definition to an own occupation definition.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provider said this is intended to make the claims process clearer and more straightforward.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wins approval to deliver targeted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Fi Wynn, head of protection proposition at Royal London, said: “As the world of work continues to change, the products designed to support it must too.”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added: “We’re committed to ensuring that Income Protection remains relevant and accessible for workers navigating today’s dynamic employment landscape.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“Jobs are constantly evolving and in response we’ve expanded access to Income Protection for a variety of job titles that were previously ineligible or where eligibility was unclear.”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London’s Wynn said the changes aim to ensure “greater inclusivity”, allowing more people to protect their income regardless of how their career develops.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Vicky Churcher, executive director at the Income Protection Task Force at Royal London, said: “The IPTF welcomes developments that seek to broaden access to insurance, particularly for underserved groups such as the self-employed and those with non-traditional career paths.”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added that clearer cover and updated eligibility criteria can help improve accessibility and engagement with income protection.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