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zkgvqgns7jo" w:id="0"/>
      <w:bookmarkEnd w:id="0"/>
      <w:r w:rsidDel="00000000" w:rsidR="00000000" w:rsidRPr="00000000">
        <w:rPr>
          <w:b w:val="1"/>
          <w:bCs w:val="1"/>
          <w:color w:val="1b1b1b"/>
          <w:sz w:val="90"/>
          <w:szCs w:val="90"/>
          <w:rtl w:val="0"/>
        </w:rPr>
        <w:t xml:space="preserve">Royal London launches targeted support service</w:t>
      </w:r>
    </w:p>
    <w:p w:rsidR="00000000" w:rsidDel="00000000" w:rsidP="00000000" w:rsidRDefault="00000000" w:rsidRPr="00000000" w14:paraId="00000002">
      <w:pPr>
        <w:pStyle w:val="Heading1"/>
        <w:keepNext w:val="0"/>
        <w:keepLines w:val="0"/>
        <w:spacing w:after="460" w:before="0" w:line="291.38399999999996" w:lineRule="auto"/>
        <w:rPr>
          <w:color w:val="1b1b1b"/>
          <w:sz w:val="27"/>
          <w:szCs w:val="27"/>
        </w:rPr>
      </w:pPr>
      <w:bookmarkStart w:colFirst="0" w:colLast="0" w:name="_hjct014xt8jm" w:id="1"/>
      <w:bookmarkEnd w:id="1"/>
      <w:r w:rsidDel="00000000" w:rsidR="00000000" w:rsidRPr="00000000">
        <w:rPr>
          <w:color w:val="1b1b1b"/>
          <w:sz w:val="27"/>
          <w:szCs w:val="27"/>
          <w:rtl w:val="0"/>
        </w:rPr>
        <w:t xml:space="preserve">Royal London has launched its targeted support investment savings account (Isa) service from today.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This new digital offering is available to Royal London mobile app customers.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Earlier this month, Royal London was the first business to receive regulatory permissions to launch a targeted support service.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Royal London said it had been involved from the outset through the industry working group, government engagement and the Financial Conduct Authority’s (FCA) policy sprint.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targeted support Isa service is designed to help customers understand how investing works and if investing is right for them.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If it is, Royal London will provide a free investment recommendation designed to suit groups of people with similar goals and circumstances.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Royal London said the new service will allow customers to take manageable steps.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Ben Hampton, CEO of Advice at Royal London, said: “Innovation should be used to genuinely improve people’s financial outcomes, not add complexity. Our Targeted Support Isa service applies behavioural principles to help people make better, more confident investing decisions, building positive habits and helping customers act with confidence.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“For many, this Isa journey will be an important step towards building long‑term financial resilience and, ultimately, a more secure retirement.”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