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sz w:val="17"/>
          <w:szCs w:val="17"/>
        </w:rPr>
      </w:pPr>
      <w:bookmarkStart w:colFirst="0" w:colLast="0" w:name="_kl8necjy6v29" w:id="0"/>
      <w:bookmarkEnd w:id="0"/>
      <w:r w:rsidDel="00000000" w:rsidR="00000000" w:rsidRPr="00000000">
        <w:rPr>
          <w:b w:val="1"/>
          <w:bCs w:val="1"/>
          <w:color w:val="1b1b1b"/>
          <w:sz w:val="90"/>
          <w:szCs w:val="90"/>
          <w:rtl w:val="0"/>
        </w:rPr>
        <w:t xml:space="preserve">Royal London reduces early repayment charge for equity release product</w:t>
      </w:r>
      <w:r w:rsidDel="00000000" w:rsidR="00000000" w:rsidRPr="00000000">
        <w:rPr>
          <w:rtl w:val="0"/>
        </w:rPr>
      </w:r>
    </w:p>
    <w:p w:rsidR="00000000" w:rsidDel="00000000" w:rsidP="00000000" w:rsidRDefault="00000000" w:rsidRPr="00000000" w14:paraId="00000002">
      <w:pPr>
        <w:spacing w:after="280" w:before="280" w:lineRule="auto"/>
        <w:rPr>
          <w:color w:val="1b1b1b"/>
          <w:sz w:val="27"/>
          <w:szCs w:val="27"/>
        </w:rPr>
      </w:pPr>
      <w:r w:rsidDel="00000000" w:rsidR="00000000" w:rsidRPr="00000000">
        <w:rPr>
          <w:sz w:val="27"/>
          <w:szCs w:val="27"/>
          <w:rtl w:val="0"/>
        </w:rPr>
        <w:t xml:space="preserve">Royal London has announced “significant” enhancements to its principal equity release product, introducing a drawdown facility and reducing the early repayment charge period.</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This will allow clients to have the option to access their property wealth more flexibly and tailor their withdrawals to suit changing needs.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Royal London has also reduced the ERC period from 10 years to seven years which it said will provide further flexibility for clients who choose to service the interest on their loan or make larger repayments.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provider specified that any cases progressing through application will continue under the previous ten-year ERCs but, upon completion, these cases will be switched to the new seven-year ERCs.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 communication will be sent to inform all parties.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Alan Ritchie, customer life stage and solutions director at Royal London Equity Release, said: “The evolution of our principal product reflects Royal London’s commitment to equity release as a core solution to meet customer needs.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“We know that the market must expand significantly to meet the growing customer demand for robust retirement planning and repayment of traditional mortgages.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new capabilities — a drawdown option and a reduced early repayment charge period — provide advisers and their clients with more choice and meaningful flexibility.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“We will continue to listen to advisers and also use insight from customers to innovate in the market and to stand out for customer outcomes.”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Additionally, Royal London stated that this change was necessary as the provider is a “dependable” name in the equity release industry.</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enhancements to principal will elevate that trust by offering more control, without compromising its high service standards for customers and advisers,” it stated.</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