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nr2z6dmwp8pm" w:id="0"/>
      <w:bookmarkEnd w:id="0"/>
      <w:r w:rsidDel="00000000" w:rsidR="00000000" w:rsidRPr="00000000">
        <w:rPr>
          <w:b w:val="1"/>
          <w:bCs w:val="1"/>
          <w:color w:val="1b1b1b"/>
          <w:sz w:val="90"/>
          <w:szCs w:val="90"/>
          <w:rtl w:val="0"/>
        </w:rPr>
        <w:t xml:space="preserve">Royal London expands sustainable fund range</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Royal London has announced the launch of three additional sustainable funds.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RLS Sustainable Growth, RLS Sustainable Short Duration Corporate Bond, and RLS Global Sustainable Credit funds are available via the Royal London Isa and Royal London pension offerings.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This expands the Royal London Sustainable Range to nine.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funds are managed by Royal London Asset Management, and also offer investors access to the SDR Sustainable Focus label.</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funds research each potential investment to decide if it’s suitable from a sustainability perspective and financially.</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Financial analysis is tailored to each asset class.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Royal London said: “This approach centres on four sustainability themes. For the UK funds, this means considering sustainable companies that are clean, healthy, safe and inclusive. For the offshore fund, this means considering companies that are cleaner, healthier, safer and more inclusive.”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Royal London head of responsible investment proposition Andrew Kitchen said: “We constantly review and evolve our propositions to ensure they continue to meet customer needs and expectations. These new funds reinforce our position as a purpose-driven mutual, with a clear focus on playing our part in moving fairly to a sustainable world.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“We believe that sustainable investing makes sense for the benefit of wider society and the environment – as well as financially.”</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 September, Royal London launched a new stocks and shares Isa, expanding its savings and investment range to complement its pension offering.</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UK’s largest mutual life, pensions and investment provider said the product would be available to new customers through financial advisers.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will also be available to existing workplace and individual pension customers either through advisers or via direct application.</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Royal London Stocks and Shares Isa will provide the same investment choices as its pensions, including access to the Governed Range.</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