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dhsadugsegs8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How Royal London plans to roll out targeted support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itacx8mttie0" w:id="1"/>
      <w:bookmarkEnd w:id="1"/>
      <w:r w:rsidDel="00000000" w:rsidR="00000000" w:rsidRPr="00000000">
        <w:rPr>
          <w:sz w:val="50"/>
          <w:szCs w:val="50"/>
          <w:rtl w:val="0"/>
        </w:rPr>
        <w:t xml:space="preserve">Ben Hampton, the CEO of Wealth Wizards, joined The Advice Show this week to discuss his firm, its role within Royal London and targeted support.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CEO of Royal London’s advice arm has said that consumers need more support than ever before as it gears up to offer targeted support in the Spring. 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Ben Hampton, who heads up Wealth Wizards in addition to his recently created role as head of Royal London’s advice proposition, has been a big proponent of targeted support since its initial days as a policy proposal. 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Targeted support will allow providers and banks to make suggestions to its customers around investments and pension decisions, without straying into advice. 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‘I believe in advice in all of its forms. Be it that gold standard, holistic form that most of your readers provide, or later life lending advice, a market that I am learning a lot about.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‘Or whether it’s a form of limited advice, such as targeted support. Consumers need more help than ever before. That is probably why I am passionate about it, it is the end consumer bit for me.’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Hampton did however acknowledge that there are limitations to targeted support, as the free service will need to be paid for from somewhere.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When asked how providers like Royal London will make money from targeted support, Hampton said he expects the service will inevitably lead to more customer action in providers’ in-house products.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