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mi8ggceuon9f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secures targeted support approval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become one of the first firms to receive regulatory approval to deliver targeted support.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it has played a leading role in shaping and delivering targeted support via the industry working group, government engagement and the Financial Conduct Authority’s policy sprint.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Ben Hampton, chief executive of advice at Royal London, said: “From the start, we’ve worked closely with the FCA to help design a framework that allows innovation to flourish while maintaining strong consumer protections, empowering millions of people to take better financial decisions.”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Royal London’s modelling, 21.5mn people in the UK could benefit from targeted support.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that targeted support is designed to complement fully individualised financial advice, adding that increased confidence and engagement may lead individuals to seek advice in the future.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