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d57uw9pjjw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Santander boosts new-build affordability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Santander has improved its new-build affordability policy so homemover and first-time buyer clients can borrow more. 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As an example, for a joint application with two dependants buying a new-build home for £430,000 with salaries of £45,000 and £33,000 and a mortgage term of 30 years, the borrowers can borrow an extra £5,110 on a two-year fixed rate.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lender noted that in this example, if borrowers elected a five-year fixed rate, then they could get an extra £5,671.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above is subject to loan-to-income (LTI) thresholds.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Full mortgage applications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submitted from 6am on 27 June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 will be assessed using the new lending policy and material changes to existing applications from the same time will be reassessed.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Santander recently upped its </w:t>
      </w:r>
      <w:hyperlink r:id="rId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new-build offer validity to nine months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, an increase of three months. The extension aims to give peace of mind if completion takes longer than expected.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ntanderforintermediaries.co.uk/products-and-criteria/mortgage-news/2025-06-27-new-build-clients-could-borrow-more" TargetMode="External"/><Relationship Id="rId7" Type="http://schemas.openxmlformats.org/officeDocument/2006/relationships/hyperlink" Target="https://www.mortgagesolutions.co.uk/news/2025/05/06/santander-extends-new-build-offer-validity-to-nine-month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