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tojxaing2mf6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Letter: Banks that focus on card innovation risk being left behind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="305.46" w:lineRule="auto"/>
        <w:rPr>
          <w:sz w:val="17"/>
          <w:szCs w:val="17"/>
        </w:rPr>
      </w:pPr>
      <w:bookmarkStart w:colFirst="0" w:colLast="0" w:name="_oqoxvtp2krnm" w:id="1"/>
      <w:bookmarkEnd w:id="1"/>
      <w:r w:rsidDel="00000000" w:rsidR="00000000" w:rsidRPr="00000000">
        <w:rPr>
          <w:sz w:val="50"/>
          <w:szCs w:val="50"/>
          <w:rtl w:val="0"/>
        </w:rPr>
        <w:t xml:space="preserve">From Barb Morgan, Chief Product and Technology Officer, Temenos, London EC3, 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debate around how much can be spent with a contactless card misses the point. While the decline of cash is widely acknowledged, the fall of the physical card is next, and it’s a closer reality than many think (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FT Money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March 21). UK banks signalled this shift last week. HSBC, Monzo, Santander and Lloyds all chose not to raise the limit, reflecting a simpler reality: the demand just isn’t there.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Consumers have already moved on. Digital wallets are rapidly becoming the default for secure, convenient and feature-rich banking services.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Claer Barrett is not wrong: the physical card is increasingly falling into the same category as the cheque book — it’s still present, but its use is limited, often as a last resort or backup.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That said, this isn’t a clean break. It’s a transition. And it’s important to recognise that for many customers, particularly those less familiar or less comfortable with digital technology, physical cards still provide confidence, accessibility and inclusivity.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Most banks and fintechs are designing card products assuming dual use. A digital card is available instantly via a wallet, while a physical card is an afterthought. One delivers immediacy, control and insight, the other offers resilience and trust when digital fails. Co-existence, for now, is the model.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But the direction of travel is clear. Digital wallets are more than just a payment instrument — they are evolving into foundational infrastructure for financial services. With access to multiple accounts, spend tracking and rich transaction data, they enable a personalised and contextual financial experience that physical cards can’t match.</w:t>
        <w:br w:type="textWrapping"/>
        <w:br w:type="textWrapping"/>
        <w:t xml:space="preserve">Banks that continue to focus on card innovation risk clinging to a declining format. The real opportunity lies in mobile wallets, not just as payment tools but as financial infrastructure.</w:t>
      </w:r>
    </w:p>
    <w:p w:rsidR="00000000" w:rsidDel="00000000" w:rsidP="00000000" w:rsidRDefault="00000000" w:rsidRPr="00000000" w14:paraId="0000000B">
      <w:pPr>
        <w:spacing w:after="280" w:before="280" w:lineRule="auto"/>
        <w:rPr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From integrating digital ID, such as government-issued identities and passports, to enabling secure authentication for travel and regulated services, these early innovation examples point clearly to where long-term advantage will be built.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.com/content/a2fb48d0-c099-45ee-b4a9-009b8734f442?syn-25a6b1a6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