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D483B" w:rsidRDefault="00000000">
      <w:pPr>
        <w:pStyle w:val="Heading1"/>
        <w:keepNext w:val="0"/>
        <w:keepLines w:val="0"/>
        <w:spacing w:before="0" w:after="460" w:line="291" w:lineRule="auto"/>
        <w:rPr>
          <w:b/>
          <w:bCs/>
          <w:color w:val="1B1B1B"/>
          <w:sz w:val="90"/>
          <w:szCs w:val="90"/>
        </w:rPr>
      </w:pPr>
      <w:bookmarkStart w:id="0" w:name="_3tok6dzewdu4" w:colFirst="0" w:colLast="0"/>
      <w:bookmarkEnd w:id="0"/>
      <w:r>
        <w:rPr>
          <w:b/>
          <w:bCs/>
          <w:color w:val="1B1B1B"/>
          <w:sz w:val="90"/>
          <w:szCs w:val="90"/>
        </w:rPr>
        <w:t>Santander axes 2,000 jobs and warns more cuts are possible</w:t>
      </w:r>
    </w:p>
    <w:p w14:paraId="00000004" w14:textId="3B33DB28" w:rsidR="00FD483B" w:rsidRDefault="00000000">
      <w:pPr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​​</w:t>
      </w:r>
    </w:p>
    <w:p w14:paraId="00000005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High street lender Santander UK revealed it has axed over 2,000 jobs and warned more roles may need to be cut as part of an ongoing overhaul.</w:t>
      </w:r>
    </w:p>
    <w:p w14:paraId="00000006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Mike Regnier, chief executive of Santander in the UK, said the year-on-year drop in its workforce comes as part of a “simplification and automation” drive as it ramps up the use of technology and as customers switch to online banking.</w:t>
      </w:r>
    </w:p>
    <w:p w14:paraId="00000007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He told the PA news agency there “might well be” more job cuts on the way by the end of 2025 as the bank continues its restructure.</w:t>
      </w:r>
    </w:p>
    <w:p w14:paraId="00000008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But he said it was too early to say what impact the £2.65 billion deal recently announced by its Spanish owner to buy UK rival TSB would have on jobs and branches.</w:t>
      </w:r>
    </w:p>
    <w:p w14:paraId="00000009" w14:textId="255B3939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 xml:space="preserve">His comments came as </w:t>
      </w:r>
      <w:proofErr w:type="spellStart"/>
      <w:r w:rsidR="001A6B13">
        <w:rPr>
          <w:color w:val="1B1B1B"/>
          <w:sz w:val="27"/>
          <w:szCs w:val="27"/>
        </w:rPr>
        <w:t>Satander</w:t>
      </w:r>
      <w:proofErr w:type="spellEnd"/>
      <w:r>
        <w:rPr>
          <w:color w:val="1B1B1B"/>
          <w:sz w:val="27"/>
          <w:szCs w:val="27"/>
        </w:rPr>
        <w:t xml:space="preserve"> reported a 5% fall in pre-tax profits to £764 million for the first six months of 2025, with provisions for liabilities and charges up 74% to £249 million, driven by “higher transformation-related charges”.</w:t>
      </w:r>
    </w:p>
    <w:p w14:paraId="0000000A" w14:textId="6C6D68CC" w:rsidR="00FD483B" w:rsidRDefault="001A6B13">
      <w:pPr>
        <w:spacing w:before="280" w:after="280"/>
        <w:rPr>
          <w:sz w:val="17"/>
          <w:szCs w:val="17"/>
        </w:rPr>
      </w:pPr>
      <w:r>
        <w:rPr>
          <w:color w:val="1B1B1B"/>
          <w:sz w:val="27"/>
          <w:szCs w:val="27"/>
        </w:rPr>
        <w:t>Santander</w:t>
      </w:r>
      <w:r w:rsidR="00000000">
        <w:rPr>
          <w:color w:val="1B1B1B"/>
          <w:sz w:val="27"/>
          <w:szCs w:val="27"/>
        </w:rPr>
        <w:t xml:space="preserve"> announced last October it was axing more than 1,400 jobs across the UK bank in 2024 and has since warned around another 750 jobs </w:t>
      </w:r>
      <w:r w:rsidR="00000000">
        <w:rPr>
          <w:color w:val="1B1B1B"/>
          <w:sz w:val="27"/>
          <w:szCs w:val="27"/>
        </w:rPr>
        <w:lastRenderedPageBreak/>
        <w:t>were at risk after revealing in March that it was closing another 95 branches and reducing hours at 50 sites.</w:t>
      </w:r>
    </w:p>
    <w:p w14:paraId="0000000B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Mr Regnier told PA: “Transformation is not a one-off thing.</w:t>
      </w:r>
    </w:p>
    <w:p w14:paraId="0000000C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“Whilst we have done a lot over the past year, our transformation journey will need to continue.”</w:t>
      </w:r>
    </w:p>
    <w:p w14:paraId="0000000D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He said the group would try to avoid compulsory redundancies where possible and added there were no immediate plans for further branch closures.</w:t>
      </w:r>
    </w:p>
    <w:p w14:paraId="0000000E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There has been speculation over whether Banco Santander’s deal to buy TSB from Spanish rival Sabadell would lead to further job cuts and branch closures, with the tie-up expected to lead to at least £400 million in cost savings.</w:t>
      </w:r>
    </w:p>
    <w:p w14:paraId="0000000F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Mr Regnier said the group had “made no decisions around branches because we are still waiting to complete the deal”.</w:t>
      </w:r>
    </w:p>
    <w:p w14:paraId="00000010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But he said the takeover “accelerates our transformation, allowing us to enhance our customer proposition and invest more in innovative products and our digital offering”.</w:t>
      </w:r>
    </w:p>
    <w:p w14:paraId="00000011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The takeover is expected to complete in the first quarter of 2026.</w:t>
      </w:r>
    </w:p>
    <w:p w14:paraId="00000012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Santander is also awaiting the outcome of a crucial Supreme Court judgment on the car finance commission scandal on Friday, which is set to have a bearing on the Financial Conduct Authority’s plans for a compensation scheme.</w:t>
      </w:r>
    </w:p>
    <w:p w14:paraId="00000013" w14:textId="1F1E41B6" w:rsidR="00FD483B" w:rsidRDefault="001A6B13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Santander</w:t>
      </w:r>
      <w:r w:rsidR="00000000">
        <w:rPr>
          <w:color w:val="1B1B1B"/>
          <w:sz w:val="27"/>
          <w:szCs w:val="27"/>
        </w:rPr>
        <w:t xml:space="preserve"> put by a £295 million provision in 2024 for the affair, which it said “continues to reflect the Santander UK group’s best estimate”.</w:t>
      </w:r>
    </w:p>
    <w:p w14:paraId="00000014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But it cautioned the outcome could have to change following the judgment.</w:t>
      </w:r>
    </w:p>
    <w:p w14:paraId="00000015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The group said: “Santander UK will consider the outcome of the Supreme Court judgment and any subsequent steps the Financial Conduct Authority proposes to take once known, which could lead to a change in the value of the provision.</w:t>
      </w:r>
    </w:p>
    <w:p w14:paraId="00000016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lastRenderedPageBreak/>
        <w:t>“As such, the ultimate financial impact could be materially higher or lower than the amount provided.”</w:t>
      </w:r>
    </w:p>
    <w:p w14:paraId="00000017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Its half-year results showed mortgage loans were flat at £167.2 billion in the first half, though the bank expects a “gradual return” to net mortgage lending in 2025, adding its pipeline was good heading into the second half.</w:t>
      </w:r>
    </w:p>
    <w:p w14:paraId="00000018" w14:textId="77777777" w:rsidR="00FD483B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 xml:space="preserve">The wider Banco Santander group reported record net income of 6.8 billion euros (£5.9 billion) for the first </w:t>
      </w:r>
      <w:proofErr w:type="gramStart"/>
      <w:r>
        <w:rPr>
          <w:color w:val="1B1B1B"/>
          <w:sz w:val="27"/>
          <w:szCs w:val="27"/>
        </w:rPr>
        <w:t>half, but</w:t>
      </w:r>
      <w:proofErr w:type="gramEnd"/>
      <w:r>
        <w:rPr>
          <w:color w:val="1B1B1B"/>
          <w:sz w:val="27"/>
          <w:szCs w:val="27"/>
        </w:rPr>
        <w:t xml:space="preserve"> revealed a </w:t>
      </w:r>
      <w:proofErr w:type="gramStart"/>
      <w:r>
        <w:rPr>
          <w:color w:val="1B1B1B"/>
          <w:sz w:val="27"/>
          <w:szCs w:val="27"/>
        </w:rPr>
        <w:t>467 million euro</w:t>
      </w:r>
      <w:proofErr w:type="gramEnd"/>
      <w:r>
        <w:rPr>
          <w:color w:val="1B1B1B"/>
          <w:sz w:val="27"/>
          <w:szCs w:val="27"/>
        </w:rPr>
        <w:t xml:space="preserve"> (£403 million) charge for its Brazilian arm due to the country’s economic outlook.</w:t>
      </w:r>
    </w:p>
    <w:p w14:paraId="00000019" w14:textId="77777777" w:rsidR="00FD483B" w:rsidRDefault="00FD483B"/>
    <w:sectPr w:rsidR="00FD483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BAE25FA4-3565-A846-8DB0-B376B018F775}"/>
    <w:embedBold r:id="rId2" w:fontKey="{8F3A325B-3F27-1246-BD63-1A95F52DBA4B}"/>
    <w:embedItalic r:id="rId3" w:fontKey="{57068BB1-BE9E-B646-8DE7-B24873A4EAC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1C55DF47-CCA2-C144-8592-40DF6629798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3188D2D-CAC0-3A43-9E7F-D4E7CB2126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6D567C4-36F0-AB42-B150-6881946BB47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483B"/>
    <w:rsid w:val="001A6B13"/>
    <w:rsid w:val="00C00759"/>
    <w:rsid w:val="00FD4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BBFFE7"/>
  <w15:docId w15:val="{0E82FC5E-A20B-4A43-AB97-8620014BB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498</Words>
  <Characters>2845</Characters>
  <Application>Microsoft Office Word</Application>
  <DocSecurity>0</DocSecurity>
  <Lines>23</Lines>
  <Paragraphs>6</Paragraphs>
  <ScaleCrop>false</ScaleCrop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Adam Shaw</cp:lastModifiedBy>
  <cp:revision>2</cp:revision>
  <dcterms:created xsi:type="dcterms:W3CDTF">2026-05-11T12:25:00Z</dcterms:created>
  <dcterms:modified xsi:type="dcterms:W3CDTF">2026-05-11T12:26:00Z</dcterms:modified>
</cp:coreProperties>
</file>