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110E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0" w:after="0"/>
        <w:rPr>
          <w:b/>
          <w:bCs/>
          <w:sz w:val="46"/>
          <w:szCs w:val="46"/>
        </w:rPr>
      </w:pPr>
      <w:bookmarkStart w:id="0" w:name="_f356wpqbvr0l" w:colFirst="0" w:colLast="0"/>
      <w:bookmarkEnd w:id="0"/>
      <w:r>
        <w:rPr>
          <w:b/>
          <w:bCs/>
          <w:sz w:val="46"/>
          <w:szCs w:val="46"/>
        </w:rPr>
        <w:t>Santander ups selected rates by up to 0.13%</w:t>
      </w:r>
    </w:p>
    <w:p w14:paraId="00000002" w14:textId="77777777" w:rsidR="00E5110E" w:rsidRDefault="00E5110E"/>
    <w:p w14:paraId="00000003" w14:textId="77777777" w:rsidR="00E5110E" w:rsidRDefault="00E5110E"/>
    <w:p w14:paraId="00000004" w14:textId="77777777" w:rsidR="00E5110E" w:rsidRDefault="00000000">
      <w:pPr>
        <w:rPr>
          <w:b/>
          <w:bCs/>
        </w:rPr>
      </w:pPr>
      <w:r>
        <w:rPr>
          <w:b/>
          <w:bCs/>
        </w:rPr>
        <w:t xml:space="preserve">High street lender Santander has increased selected new business residential and buy-to-let (BTL) fixed rates by up to 0.13% and product transfer rates by 0.09%. </w:t>
      </w:r>
    </w:p>
    <w:p w14:paraId="00000005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The changes to Santander’s fixed rates will take place on 12 September.</w:t>
      </w:r>
    </w:p>
    <w:p w14:paraId="00000006" w14:textId="07D49435" w:rsidR="00E5110E" w:rsidRDefault="00732EEC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At Santander, </w:t>
      </w:r>
      <w:proofErr w:type="gramStart"/>
      <w:r w:rsidR="00000000">
        <w:rPr>
          <w:rFonts w:ascii="Lora" w:eastAsia="Lora" w:hAnsi="Lora" w:cs="Lora"/>
          <w:sz w:val="27"/>
          <w:szCs w:val="27"/>
        </w:rPr>
        <w:t>Within</w:t>
      </w:r>
      <w:proofErr w:type="gramEnd"/>
      <w:r w:rsidR="00000000">
        <w:rPr>
          <w:rFonts w:ascii="Lora" w:eastAsia="Lora" w:hAnsi="Lora" w:cs="Lora"/>
          <w:sz w:val="27"/>
          <w:szCs w:val="27"/>
        </w:rPr>
        <w:t xml:space="preserve"> its new business residential range, all </w:t>
      </w:r>
      <w:proofErr w:type="spellStart"/>
      <w:r w:rsidR="00000000">
        <w:rPr>
          <w:rFonts w:ascii="Lora" w:eastAsia="Lora" w:hAnsi="Lora" w:cs="Lora"/>
          <w:sz w:val="27"/>
          <w:szCs w:val="27"/>
        </w:rPr>
        <w:t>homemover</w:t>
      </w:r>
      <w:proofErr w:type="spellEnd"/>
      <w:r w:rsidR="00000000">
        <w:rPr>
          <w:rFonts w:ascii="Lora" w:eastAsia="Lora" w:hAnsi="Lora" w:cs="Lora"/>
          <w:sz w:val="27"/>
          <w:szCs w:val="27"/>
        </w:rPr>
        <w:t xml:space="preserve"> two-, three- and five-year fixed rates from 60% to 95% loan to value (LTV) will rise by up to 0.13%.</w:t>
      </w:r>
    </w:p>
    <w:p w14:paraId="00000007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In addition, all 10-year fixed rates from 60% to 75% LTV will go up to 0.08%.</w:t>
      </w:r>
    </w:p>
    <w:p w14:paraId="00000008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All residential </w:t>
      </w:r>
      <w:proofErr w:type="spellStart"/>
      <w:r>
        <w:rPr>
          <w:rFonts w:ascii="Lora" w:eastAsia="Lora" w:hAnsi="Lora" w:cs="Lora"/>
          <w:sz w:val="27"/>
          <w:szCs w:val="27"/>
        </w:rPr>
        <w:t>homemover</w:t>
      </w:r>
      <w:proofErr w:type="spellEnd"/>
      <w:r>
        <w:rPr>
          <w:rFonts w:ascii="Lora" w:eastAsia="Lora" w:hAnsi="Lora" w:cs="Lora"/>
          <w:sz w:val="27"/>
          <w:szCs w:val="27"/>
        </w:rPr>
        <w:t xml:space="preserve"> new-build two-, three- and five-year fixed rates between 60% and 95% LTV will increase by 0.13%.</w:t>
      </w:r>
    </w:p>
    <w:p w14:paraId="00000009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On the first-time buyer side, all two-year fixed rates from 75% to 95% will jump by 0.11%.</w:t>
      </w:r>
    </w:p>
    <w:p w14:paraId="0000000A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All 60-95% LTV three- and five-year fixed rates will go up by up to 0.12% and all 10-year fixed rates from 60% to 75% LTV will rise by up to 0.11%.</w:t>
      </w:r>
    </w:p>
    <w:p w14:paraId="0000000B" w14:textId="2FAF6872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Within </w:t>
      </w:r>
      <w:r w:rsidR="00732EEC">
        <w:rPr>
          <w:rFonts w:ascii="Lora" w:eastAsia="Lora" w:hAnsi="Lora" w:cs="Lora"/>
          <w:sz w:val="27"/>
          <w:szCs w:val="27"/>
        </w:rPr>
        <w:t xml:space="preserve">Santander’s </w:t>
      </w:r>
      <w:r>
        <w:rPr>
          <w:rFonts w:ascii="Lora" w:eastAsia="Lora" w:hAnsi="Lora" w:cs="Lora"/>
          <w:sz w:val="27"/>
          <w:szCs w:val="27"/>
        </w:rPr>
        <w:t>first-time buyer new-build deals, all two-year fixed rates from 75% to 95% LTV will go up by around 0.11%, while all three- and five-year fixed rates from 60% to 95% LTV will rise by up to 0.12%.</w:t>
      </w:r>
    </w:p>
    <w:p w14:paraId="0000000C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On the residential </w:t>
      </w:r>
      <w:proofErr w:type="spellStart"/>
      <w:r>
        <w:rPr>
          <w:rFonts w:ascii="Lora" w:eastAsia="Lora" w:hAnsi="Lora" w:cs="Lora"/>
          <w:sz w:val="27"/>
          <w:szCs w:val="27"/>
        </w:rPr>
        <w:t>homemover</w:t>
      </w:r>
      <w:proofErr w:type="spellEnd"/>
      <w:r>
        <w:rPr>
          <w:rFonts w:ascii="Lora" w:eastAsia="Lora" w:hAnsi="Lora" w:cs="Lora"/>
          <w:sz w:val="27"/>
          <w:szCs w:val="27"/>
        </w:rPr>
        <w:t xml:space="preserve"> and first-time buyer large loan side, all 60% LTV two- and five-year fixed rates will increase by 0.1%.</w:t>
      </w:r>
    </w:p>
    <w:p w14:paraId="0000000D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Residential remortgage two-year fixed rates at 60% LTV will go up by up to 0.1% and all three-, five- and 10-year fixed rates at 60-75% LTV will rise by up to 0.11%.</w:t>
      </w:r>
    </w:p>
    <w:p w14:paraId="0000000E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All two- and five-year fixed rate residential remortgage large loans at 60% LTV will increase by up to 0.05%.</w:t>
      </w:r>
    </w:p>
    <w:p w14:paraId="0000000F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lastRenderedPageBreak/>
        <w:t>Within its BTL range, all two- and five-year fixed rates from 60% to 75% LTV will go up by 0.1% and two- and five-year fixed rates from 60% to 75% LTV will increase by up to 0.07%.</w:t>
      </w:r>
    </w:p>
    <w:p w14:paraId="00000010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In its product transfer range, all two-, three-, five- and seven-year fixed rates up to 60% LTV will jump by up to 0.09%, and all five- and seven-year fixed rates from 60.01% to 75% LTV will increase by up to 0.08%.</w:t>
      </w:r>
    </w:p>
    <w:p w14:paraId="00000011" w14:textId="77777777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For BTL product transfer deals, all two- and five-year fixed rates up to 60% LTV will rise by 0.04% and all 60.01-75% LTV two- and five-year fixed rates will go up by 0.05%.</w:t>
      </w:r>
    </w:p>
    <w:p w14:paraId="00000012" w14:textId="61C5FA83" w:rsidR="00E5110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Earlier this month, </w:t>
      </w:r>
      <w:r w:rsidR="00732EEC">
        <w:rPr>
          <w:rFonts w:ascii="Lora" w:eastAsia="Lora" w:hAnsi="Lora" w:cs="Lora"/>
          <w:sz w:val="27"/>
          <w:szCs w:val="27"/>
        </w:rPr>
        <w:t>Santander</w:t>
      </w:r>
      <w:r>
        <w:rPr>
          <w:rFonts w:ascii="Lora" w:eastAsia="Lora" w:hAnsi="Lora" w:cs="Lora"/>
          <w:sz w:val="27"/>
          <w:szCs w:val="27"/>
        </w:rPr>
        <w:t xml:space="preserve"> made </w:t>
      </w:r>
      <w:r>
        <w:rPr>
          <w:rFonts w:ascii="Lora" w:eastAsia="Lora" w:hAnsi="Lora" w:cs="Lora"/>
          <w:b/>
          <w:bCs/>
          <w:color w:val="1155CC"/>
          <w:sz w:val="27"/>
          <w:szCs w:val="27"/>
          <w:u w:val="single"/>
        </w:rPr>
        <w:t>product transfer</w:t>
      </w:r>
      <w:r>
        <w:rPr>
          <w:rFonts w:ascii="Lora" w:eastAsia="Lora" w:hAnsi="Lora" w:cs="Lora"/>
          <w:b/>
          <w:bCs/>
          <w:color w:val="1155CC"/>
          <w:sz w:val="27"/>
          <w:szCs w:val="27"/>
          <w:u w:val="single"/>
        </w:rPr>
        <w:t xml:space="preserve"> </w:t>
      </w:r>
      <w:r>
        <w:rPr>
          <w:rFonts w:ascii="Lora" w:eastAsia="Lora" w:hAnsi="Lora" w:cs="Lora"/>
          <w:b/>
          <w:bCs/>
          <w:color w:val="1155CC"/>
          <w:sz w:val="27"/>
          <w:szCs w:val="27"/>
          <w:u w:val="single"/>
        </w:rPr>
        <w:t>improvements</w:t>
      </w:r>
      <w:r>
        <w:rPr>
          <w:rFonts w:ascii="Lora" w:eastAsia="Lora" w:hAnsi="Lora" w:cs="Lora"/>
          <w:sz w:val="27"/>
          <w:szCs w:val="27"/>
        </w:rPr>
        <w:t>.</w:t>
      </w:r>
    </w:p>
    <w:p w14:paraId="00000013" w14:textId="77777777" w:rsidR="00E5110E" w:rsidRDefault="00E5110E"/>
    <w:sectPr w:rsidR="00E511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4638739-F065-1C4D-8B55-765684C340B6}"/>
    <w:embedBold r:id="rId2" w:fontKey="{0F1E1A03-18C9-7542-B439-EE16CC81A6FB}"/>
    <w:embedItalic r:id="rId3" w:fontKey="{11DC7997-138B-484E-85FC-5E1E8B941E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D9DE8AE-4CF8-7447-8E47-504D5EA9D741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17ABDF0F-6C4E-5C49-8B60-D131220FFD8A}"/>
    <w:embedBold r:id="rId6" w:fontKey="{93DF9880-B156-2842-A0B1-805F317C0C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C35F7A9-3DB3-C744-B20E-C96DED82F0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4176258-FD5D-7542-AF9A-C5AAB147DD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0E"/>
    <w:rsid w:val="00732EEC"/>
    <w:rsid w:val="00C00759"/>
    <w:rsid w:val="00E5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B0F5A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2026-05-11T12:29:00Z</dcterms:created>
  <dcterms:modified xsi:type="dcterms:W3CDTF">2026-05-11T12:30:00Z</dcterms:modified>
</cp:coreProperties>
</file>