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34B2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xz1qmxd0kr3" w:colFirst="0" w:colLast="0"/>
      <w:bookmarkEnd w:id="0"/>
      <w:r>
        <w:rPr>
          <w:b/>
          <w:bCs/>
          <w:color w:val="1B1B1B"/>
          <w:sz w:val="90"/>
          <w:szCs w:val="90"/>
        </w:rPr>
        <w:t>Axa updates two products</w:t>
      </w:r>
    </w:p>
    <w:p w14:paraId="00000003" w14:textId="77777777" w:rsidR="002534B2" w:rsidRDefault="00000000">
      <w:pPr>
        <w:spacing w:before="280" w:after="280"/>
        <w:rPr>
          <w:b/>
          <w:bCs/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Axa UK Commercial has made enhancements to its offices and surgeries, and digital mini fleet products.</w:t>
      </w:r>
    </w:p>
    <w:p w14:paraId="00000004" w14:textId="77777777" w:rsidR="002534B2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insurer detailed the updates to offices and surgeries policies included changes that doubled some of the insured limits and “make it simpler for customers to understand”.</w:t>
      </w:r>
    </w:p>
    <w:p w14:paraId="00000005" w14:textId="77777777" w:rsidR="002534B2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Axa claimed the refreshed policy wording simplifies the language so it’s more accessible for customers. </w:t>
      </w:r>
    </w:p>
    <w:p w14:paraId="00000006" w14:textId="77777777" w:rsidR="002534B2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Product enhancements include updates to acceptance limits and sums insured available:</w:t>
      </w:r>
    </w:p>
    <w:p w14:paraId="00000007" w14:textId="77777777" w:rsidR="002534B2" w:rsidRDefault="00000000">
      <w:pPr>
        <w:numPr>
          <w:ilvl w:val="0"/>
          <w:numId w:val="1"/>
        </w:numPr>
        <w:spacing w:before="280"/>
      </w:pPr>
      <w:r>
        <w:rPr>
          <w:color w:val="1B1B1B"/>
          <w:sz w:val="27"/>
          <w:szCs w:val="27"/>
        </w:rPr>
        <w:t xml:space="preserve"> Buildings limit increased from £2m to £3m per location</w:t>
      </w:r>
    </w:p>
    <w:p w14:paraId="00000008" w14:textId="77777777" w:rsidR="002534B2" w:rsidRDefault="00000000">
      <w:pPr>
        <w:numPr>
          <w:ilvl w:val="0"/>
          <w:numId w:val="1"/>
        </w:numPr>
      </w:pPr>
      <w:r>
        <w:rPr>
          <w:color w:val="1B1B1B"/>
          <w:sz w:val="27"/>
          <w:szCs w:val="27"/>
        </w:rPr>
        <w:t xml:space="preserve"> Turnover limit increasing from £8m to £12.5m</w:t>
      </w:r>
    </w:p>
    <w:p w14:paraId="00000009" w14:textId="77777777" w:rsidR="002534B2" w:rsidRDefault="00000000">
      <w:pPr>
        <w:numPr>
          <w:ilvl w:val="0"/>
          <w:numId w:val="1"/>
        </w:numPr>
      </w:pPr>
      <w:r>
        <w:rPr>
          <w:color w:val="1B1B1B"/>
          <w:sz w:val="27"/>
          <w:szCs w:val="27"/>
        </w:rPr>
        <w:t xml:space="preserve"> Overall contents limit from £500k to £1m</w:t>
      </w:r>
    </w:p>
    <w:p w14:paraId="0000000A" w14:textId="77777777" w:rsidR="002534B2" w:rsidRDefault="00000000">
      <w:pPr>
        <w:numPr>
          <w:ilvl w:val="0"/>
          <w:numId w:val="1"/>
        </w:numPr>
      </w:pPr>
      <w:r>
        <w:rPr>
          <w:color w:val="1B1B1B"/>
          <w:sz w:val="27"/>
          <w:szCs w:val="27"/>
        </w:rPr>
        <w:t xml:space="preserve"> Computers inner limit from £150k to £300k</w:t>
      </w:r>
    </w:p>
    <w:p w14:paraId="0000000B" w14:textId="77777777" w:rsidR="002534B2" w:rsidRDefault="00000000">
      <w:pPr>
        <w:numPr>
          <w:ilvl w:val="0"/>
          <w:numId w:val="1"/>
        </w:numPr>
      </w:pPr>
      <w:r>
        <w:rPr>
          <w:color w:val="1B1B1B"/>
          <w:sz w:val="27"/>
          <w:szCs w:val="27"/>
        </w:rPr>
        <w:t xml:space="preserve"> Gross income per location £2.5m to £5m</w:t>
      </w:r>
    </w:p>
    <w:p w14:paraId="0000000C" w14:textId="77777777" w:rsidR="002534B2" w:rsidRDefault="00000000">
      <w:pPr>
        <w:numPr>
          <w:ilvl w:val="0"/>
          <w:numId w:val="1"/>
        </w:numPr>
      </w:pPr>
      <w:r>
        <w:rPr>
          <w:color w:val="1B1B1B"/>
          <w:sz w:val="27"/>
          <w:szCs w:val="27"/>
        </w:rPr>
        <w:t xml:space="preserve"> Overall MD/BI limit per location £8m</w:t>
      </w:r>
    </w:p>
    <w:p w14:paraId="0000000D" w14:textId="77777777" w:rsidR="002534B2" w:rsidRDefault="00000000">
      <w:pPr>
        <w:numPr>
          <w:ilvl w:val="0"/>
          <w:numId w:val="1"/>
        </w:numPr>
        <w:spacing w:after="280"/>
      </w:pPr>
      <w:r>
        <w:rPr>
          <w:color w:val="1B1B1B"/>
          <w:sz w:val="27"/>
          <w:szCs w:val="27"/>
        </w:rPr>
        <w:t xml:space="preserve"> Homeworkers cover added for £2,500 per location under contents</w:t>
      </w:r>
    </w:p>
    <w:p w14:paraId="0000000E" w14:textId="77777777" w:rsidR="002534B2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changes came into effect in mid-January.</w:t>
      </w:r>
    </w:p>
    <w:p w14:paraId="0000000F" w14:textId="77777777" w:rsidR="002534B2" w:rsidRDefault="00000000">
      <w:pPr>
        <w:pStyle w:val="Heading4"/>
        <w:keepNext w:val="0"/>
        <w:keepLines w:val="0"/>
        <w:spacing w:after="280"/>
        <w:rPr>
          <w:b/>
          <w:bCs/>
          <w:color w:val="1B1B1B"/>
          <w:sz w:val="27"/>
          <w:szCs w:val="27"/>
        </w:rPr>
      </w:pPr>
      <w:bookmarkStart w:id="1" w:name="_kr55e1kjshoo" w:colFirst="0" w:colLast="0"/>
      <w:bookmarkEnd w:id="1"/>
      <w:r>
        <w:rPr>
          <w:b/>
          <w:bCs/>
          <w:color w:val="1B1B1B"/>
          <w:sz w:val="27"/>
          <w:szCs w:val="27"/>
        </w:rPr>
        <w:t>Mini fleet</w:t>
      </w:r>
    </w:p>
    <w:p w14:paraId="00000010" w14:textId="77777777" w:rsidR="002534B2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Axa’s digital mini-fleet insurance supports SMEs to cover all their vehicles on one policy.</w:t>
      </w:r>
    </w:p>
    <w:p w14:paraId="00000011" w14:textId="77777777" w:rsidR="002534B2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From the start of </w:t>
      </w:r>
      <w:proofErr w:type="gramStart"/>
      <w:r>
        <w:rPr>
          <w:color w:val="1B1B1B"/>
          <w:sz w:val="27"/>
          <w:szCs w:val="27"/>
        </w:rPr>
        <w:t>February</w:t>
      </w:r>
      <w:proofErr w:type="gramEnd"/>
      <w:r>
        <w:rPr>
          <w:color w:val="1B1B1B"/>
          <w:sz w:val="27"/>
          <w:szCs w:val="27"/>
        </w:rPr>
        <w:t xml:space="preserve"> the acceptance criteria for the mini-fleet product broadened. The minimum was cut from to two with the top end rising from 15 vehicles to 20 for new business, and up to 25 for mid-term adjustments and renewals.</w:t>
      </w:r>
    </w:p>
    <w:p w14:paraId="00000012" w14:textId="77777777" w:rsidR="002534B2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>Axa explained: “Businesses can insure all their vehicles together as a fleet, even if they are a mix of cars and vans or include commercial, agricultural or specialist vehicles or trailers.”</w:t>
      </w:r>
    </w:p>
    <w:p w14:paraId="00000013" w14:textId="77777777" w:rsidR="002534B2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In November 2025 </w:t>
      </w:r>
      <w:r>
        <w:rPr>
          <w:i/>
          <w:iCs/>
          <w:color w:val="1B1B1B"/>
          <w:sz w:val="27"/>
          <w:szCs w:val="27"/>
        </w:rPr>
        <w:t>Insurance Age</w:t>
      </w:r>
      <w:r>
        <w:rPr>
          <w:color w:val="1B1B1B"/>
          <w:sz w:val="27"/>
          <w:szCs w:val="27"/>
        </w:rPr>
        <w:t xml:space="preserve"> revealed </w:t>
      </w:r>
      <w:hyperlink r:id="rId5">
        <w:r>
          <w:rPr>
            <w:color w:val="416ED2"/>
            <w:sz w:val="27"/>
            <w:szCs w:val="27"/>
          </w:rPr>
          <w:t xml:space="preserve">Allianz would be rolling out </w:t>
        </w:r>
        <w:proofErr w:type="gramStart"/>
        <w:r>
          <w:rPr>
            <w:color w:val="416ED2"/>
            <w:sz w:val="27"/>
            <w:szCs w:val="27"/>
          </w:rPr>
          <w:t>mini-</w:t>
        </w:r>
        <w:proofErr w:type="spellStart"/>
        <w:r>
          <w:rPr>
            <w:color w:val="416ED2"/>
            <w:sz w:val="27"/>
            <w:szCs w:val="27"/>
          </w:rPr>
          <w:t>fleet</w:t>
        </w:r>
        <w:proofErr w:type="gramEnd"/>
      </w:hyperlink>
      <w:r>
        <w:rPr>
          <w:color w:val="1B1B1B"/>
          <w:sz w:val="27"/>
          <w:szCs w:val="27"/>
        </w:rPr>
        <w:t>through</w:t>
      </w:r>
      <w:proofErr w:type="spellEnd"/>
      <w:r>
        <w:rPr>
          <w:color w:val="1B1B1B"/>
          <w:sz w:val="27"/>
          <w:szCs w:val="27"/>
        </w:rPr>
        <w:t xml:space="preserve"> Bravo Digital Trader in 2026.</w:t>
      </w:r>
    </w:p>
    <w:p w14:paraId="00000014" w14:textId="77777777" w:rsidR="002534B2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Earlier last year </w:t>
      </w:r>
      <w:hyperlink r:id="rId6">
        <w:r>
          <w:rPr>
            <w:color w:val="416ED2"/>
            <w:sz w:val="27"/>
            <w:szCs w:val="27"/>
          </w:rPr>
          <w:t>Zurich enhanced its SME e-trade fleet</w:t>
        </w:r>
      </w:hyperlink>
      <w:r>
        <w:rPr>
          <w:color w:val="1B1B1B"/>
          <w:sz w:val="27"/>
          <w:szCs w:val="27"/>
        </w:rPr>
        <w:t xml:space="preserve"> offering by accepting no-claims-discount claims history.</w:t>
      </w:r>
    </w:p>
    <w:p w14:paraId="00000015" w14:textId="77777777" w:rsidR="002534B2" w:rsidRDefault="002534B2"/>
    <w:sectPr w:rsidR="002534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BF8A4F1-4A96-654D-933D-15D178D10C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51926C91-09D0-A747-993F-1FD903340D72}"/>
    <w:embedBold r:id="rId3" w:fontKey="{FF149F87-B1D1-CF47-84FE-DBC6B28456E3}"/>
    <w:embedItalic r:id="rId4" w:fontKey="{32D97E7E-A8D0-594C-A63C-3B4CB4180E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2432344-FAEF-A643-AAC5-B7EC4F6FF6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86709E4-14B8-904A-9676-FCA582AF2A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D175D"/>
    <w:multiLevelType w:val="multilevel"/>
    <w:tmpl w:val="E72AEC8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173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4B2"/>
    <w:rsid w:val="002534B2"/>
    <w:rsid w:val="006C7AD2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BC514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uranceage.co.uk/insight/7957324/zurich-brings-in-ncd-conversion-for-sme-e-trade-fleets" TargetMode="External"/><Relationship Id="rId5" Type="http://schemas.openxmlformats.org/officeDocument/2006/relationships/hyperlink" Target="https://www.insuranceage.co.uk/insight/7957654/allianz-hails-mini-fleet-progress-as-ncd-conversion-returns-to-acturis?ref=search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2026-05-11T10:59:00Z</dcterms:created>
  <dcterms:modified xsi:type="dcterms:W3CDTF">2026-05-11T11:00:00Z</dcterms:modified>
</cp:coreProperties>
</file>