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6AD5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i1wgjrk5m801" w:colFirst="0" w:colLast="0"/>
      <w:bookmarkEnd w:id="0"/>
      <w:r>
        <w:rPr>
          <w:b/>
          <w:bCs/>
          <w:color w:val="1B1B1B"/>
          <w:sz w:val="90"/>
          <w:szCs w:val="90"/>
        </w:rPr>
        <w:t>UK insurance sector calls for more adverse weather protection</w:t>
      </w:r>
    </w:p>
    <w:p w14:paraId="00000002" w14:textId="77777777" w:rsidR="007C6AD5" w:rsidRDefault="007C6AD5">
      <w:pPr>
        <w:spacing w:before="280" w:after="280"/>
        <w:rPr>
          <w:color w:val="1B1B1B"/>
          <w:sz w:val="27"/>
          <w:szCs w:val="27"/>
        </w:rPr>
      </w:pPr>
    </w:p>
    <w:p w14:paraId="00000003" w14:textId="77777777" w:rsidR="007C6AD5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49"/>
          <w:szCs w:val="49"/>
        </w:rPr>
      </w:pPr>
      <w:bookmarkStart w:id="1" w:name="_aswcqvu7o5jd" w:colFirst="0" w:colLast="0"/>
      <w:bookmarkEnd w:id="1"/>
      <w:r>
        <w:rPr>
          <w:b/>
          <w:bCs/>
          <w:color w:val="1B1B1B"/>
          <w:sz w:val="49"/>
          <w:szCs w:val="49"/>
        </w:rPr>
        <w:t xml:space="preserve">Stopping the flood </w:t>
      </w:r>
    </w:p>
    <w:p w14:paraId="00000004" w14:textId="1525B4E2" w:rsidR="007C6AD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 recent report from insurance group, A</w:t>
      </w:r>
      <w:r w:rsidR="00E31104">
        <w:rPr>
          <w:color w:val="1B1B1B"/>
          <w:sz w:val="27"/>
          <w:szCs w:val="27"/>
        </w:rPr>
        <w:t>XA</w:t>
      </w:r>
      <w:r>
        <w:rPr>
          <w:color w:val="1B1B1B"/>
          <w:sz w:val="27"/>
          <w:szCs w:val="27"/>
        </w:rPr>
        <w:t xml:space="preserve"> who are signed up Flood Re’s Build Back Better scheme, found that homes and businesses most at risk from adverse weather could face financial costs of up to £818m by 2055, yet over 50 per cent of home owners feel unprepared to deal with the impact of flooding on their property, as well as extreme heat.</w:t>
      </w:r>
    </w:p>
    <w:p w14:paraId="00000005" w14:textId="77777777" w:rsidR="007C6AD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Adam Holland, Head of Product, AXA Retail said: “Flood damage repairs cost an average of £36,000 and storm damage costs over £1,000 to repair, so improving a property’s flood resilience will help keep the expense of flood-related damage to a minimum and make the drying out and cleaning process much simpler.”</w:t>
      </w:r>
    </w:p>
    <w:p w14:paraId="00000006" w14:textId="77777777" w:rsidR="007C6AD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“It’s vital to protect vulnerable communities from potential flood risk.”</w:t>
      </w:r>
    </w:p>
    <w:p w14:paraId="00000007" w14:textId="77777777" w:rsidR="007C6AD5" w:rsidRDefault="007C6AD5">
      <w:pPr>
        <w:spacing w:before="280" w:after="280"/>
        <w:rPr>
          <w:color w:val="1B1B1B"/>
          <w:sz w:val="27"/>
          <w:szCs w:val="27"/>
        </w:rPr>
      </w:pPr>
    </w:p>
    <w:p w14:paraId="00000008" w14:textId="77777777" w:rsidR="007C6AD5" w:rsidRDefault="007C6AD5"/>
    <w:sectPr w:rsidR="007C6A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D929AD-3E67-D646-9195-375CDE7B9741}"/>
    <w:embedBold r:id="rId2" w:fontKey="{7AC2786F-97A6-AC40-99CF-883AF38EE270}"/>
    <w:embedItalic r:id="rId3" w:fontKey="{590EB736-009B-6943-BC8B-C61FE34422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1537A2C-456A-F649-9E53-C1E335368C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FAB3136-DD58-534F-A043-57A19A71E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A172B8-4FF4-2245-A6C5-17B3527E84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AD5"/>
    <w:rsid w:val="007C6AD5"/>
    <w:rsid w:val="00C00759"/>
    <w:rsid w:val="00E3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76A10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2026-05-11T10:33:00Z</dcterms:created>
  <dcterms:modified xsi:type="dcterms:W3CDTF">2026-05-11T10:33:00Z</dcterms:modified>
</cp:coreProperties>
</file>