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n1q92j3dzqed" w:id="0"/>
      <w:bookmarkEnd w:id="0"/>
      <w:r w:rsidDel="00000000" w:rsidR="00000000" w:rsidRPr="00000000">
        <w:rPr>
          <w:b w:val="1"/>
          <w:bCs w:val="1"/>
          <w:color w:val="1b1b1b"/>
          <w:sz w:val="90"/>
          <w:szCs w:val="90"/>
          <w:rtl w:val="0"/>
        </w:rPr>
        <w:t xml:space="preserve">M&amp;G fund dominates allocators’ emerging market debt exposure</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sz w:val="17"/>
          <w:szCs w:val="17"/>
        </w:rPr>
      </w:pPr>
      <w:r w:rsidDel="00000000" w:rsidR="00000000" w:rsidRPr="00000000">
        <w:rPr>
          <w:color w:val="1b1b1b"/>
          <w:sz w:val="27"/>
          <w:szCs w:val="27"/>
          <w:rtl w:val="0"/>
        </w:rPr>
        <w:t xml:space="preserve">​</w:t>
      </w:r>
      <w:r w:rsidDel="00000000" w:rsidR="00000000" w:rsidRPr="00000000">
        <w:rPr>
          <w:rtl w:val="0"/>
        </w:rPr>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If a storm it indeed be, then the crisis in the gulf has emerging market assets right at the eye of it.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Investors reacted to the geopolitical uncertainty in a very traditional way by piling into the dollar as a safe haven asset, reversing a period of decline for the greenback relative to peer currencies.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And its an adage almost as old as some of my jokes that when the dollar strengthens, emerging market asset prices fall, whether the fundamentals justify it or not.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So if turbulence be afoot for the asset class we thought we would have a peek at our proprietary database to see which fund managers are most trusted by DFMs to navigate the uncertainty.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When it comes to emerging market debt, there is quite the convergence around M&amp;G’s Emerging Market bond fund, which appears in 10 portfolios, to wrap some context around that, only 21 funds in the sector are owned by anyone.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M&amp;G fund was once run by Claudia Calich, a doyen of the asset class, and on her retirement last year it passed to </w:t>
      </w:r>
      <w:hyperlink r:id="rId6">
        <w:r w:rsidDel="00000000" w:rsidR="00000000" w:rsidRPr="00000000">
          <w:rPr>
            <w:color w:val="416ed2"/>
            <w:sz w:val="27"/>
            <w:szCs w:val="27"/>
            <w:rtl w:val="0"/>
          </w:rPr>
          <w:t xml:space="preserve">Carlos </w:t>
        </w:r>
      </w:hyperlink>
      <w:r w:rsidDel="00000000" w:rsidR="00000000" w:rsidRPr="00000000">
        <w:rPr>
          <w:color w:val="1b1b1b"/>
          <w:sz w:val="27"/>
          <w:szCs w:val="27"/>
          <w:rtl w:val="0"/>
        </w:rPr>
        <w:t xml:space="preserve">Carranza, her long standing deputy.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Performance has been strong, it is about £1.1bn in size and has returned 27 per cent over the past five years, compared with 19 per cent for the sector.</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Investors may also be reassured by the fact its top quartile over the past six months, the period with the new manager at the helm.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Next most owned is, rather surprisingly given the asset class in question, an index fund.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This is Legal and General’s Emerging Market Government Bond fund, which appears in three portfolios.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An important factor here may be that the Legal and General fund buys emerging market debt denominated in dollars, rather than local currency, and so may prove more resilient than the local currency equivalent funds if the greenback’s rise proves to be persistent.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It is just over £1bn in size and has 471 holdings, among the largest are Brazilian government bonds and those may prove resilient if oil and commodity prices remain high.</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index has not been a buoyant source of returns over the past five years, returning 10 per cent compared with 13 per cent for the peer group average.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Barings Emerging Market Debt Blended fund and Morgan Stanley’s Emerging Market debt fund are the only other mandates to appear in more than one portfolio.</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Barings fund is less than £220mn in size while the Morgan Stanley product is £250mn in size, the Luxembourg-domiciled vehicle has beaten the benchmark over the past three years. </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2.trustnet.com//Investments/FundManagerProfile.aspx?PersonCode=MC35024808&amp;univ=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