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keynfe6v06zr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Private markets power M&amp;G £10bn flow turnaround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h80qpzmqycta" w:id="1"/>
      <w:bookmarkEnd w:id="1"/>
      <w:r w:rsidDel="00000000" w:rsidR="00000000" w:rsidRPr="00000000">
        <w:rPr>
          <w:sz w:val="50"/>
          <w:szCs w:val="50"/>
          <w:rtl w:val="0"/>
        </w:rPr>
        <w:t xml:space="preserve">The asset manager returned to positive inflows in 2025, with its private credit arm playing a big role in the firm's £7.8bn haul during the year.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returned to positive inflows in 2025 with its private markets franchise powering the major turnaround.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Overall M&amp;G generated a net inflow of £7.8bn from open business in 2025, reversing the £1.9bn outflow it suffered in 2024.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Flows into asset management stood at £7bn in 2025, of which private markets accounted for £3.9bn. Private and structured credit accounted for the bulk of this inflow at £2.8bn.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Of the £3.1bn inflow generated by public markets, M&amp;G said it had seen strong demand for high alpha strategies, alongside increased appetite for European and Asian strategies. It added that impact and sustainability remain a priority for institutional clients.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There were also green shoots in its UK business, which posted inflows of £300m compared to an outflow of £4.7bn in 2024.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Assets under management across the business rose from £345.9bn to £375.9bn, with its private assets franchise accounting for £81bn of this. Assets in its international business rose from £89bn to £107bn. International clients now make up 59% of externally managed assets, up from 56%.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Adjusted operating pre-tax profit edged up by £1m over the year to £838m.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3"/>
          <w:szCs w:val="33"/>
        </w:rPr>
      </w:pPr>
      <w:bookmarkStart w:colFirst="0" w:colLast="0" w:name="_gji95fvx0oin" w:id="2"/>
      <w:bookmarkEnd w:id="2"/>
      <w:r w:rsidDel="00000000" w:rsidR="00000000" w:rsidRPr="00000000">
        <w:rPr>
          <w:b w:val="1"/>
          <w:bCs w:val="1"/>
          <w:color w:val="1b1b1b"/>
          <w:sz w:val="33"/>
          <w:szCs w:val="33"/>
          <w:rtl w:val="0"/>
        </w:rPr>
        <w:t xml:space="preserve">Prufund flows turn positive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After suffering an outflow of £0.6bn in the first six months of 2025, the Prufund pulled in £406m in the second half, recording a positive net inflow every month from July to December.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extended the £68bn smoothed fund range’s reach through signing distribution agreements in Switzerland and the UAE.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 is also working to launch the Prufund on FNZ platforms, giving it access to the digital platform market, creating a new distribution channel for retail investors and customers. 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At the end of last year M&amp;G partnered with Dai-ichi Life, giving the asset manager access to the significant distribution network of a major Japanese life insurer. As part of the deal, Dai-ichi agreed to take a 15% stake in M&amp;G. By the end of the year, the Japanese firm owned 9.6% of M&amp;G shares.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CEO Andrea Rossi described 2025 as one of ‘strong commercial momentum and strategic progress’. 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‘We continued to invest in our business, setting it up for long-term growth and expanding our international distribution and investment capabilities,’ Rossi said. 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‘We delivered £7.8bn of net inflows from open business, an improvement of nearly £10 billion year-on-year, driven by a strong performance in asset management and a return to growth in life.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‘With a clear strategy and the right resources in place, I am confident in M&amp;G’s ability to deliver meaningful profit acceleration and sustainable long-term value for customers, clients and shareholders.’ 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Shortly after 9am shares in M&amp;G had dipped by 1.2% to 297p.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