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after="460" w:before="0" w:line="291.38399999999996" w:lineRule="auto"/>
        <w:rPr>
          <w:b w:val="1"/>
          <w:bCs w:val="1"/>
        </w:rPr>
      </w:pPr>
      <w:bookmarkStart w:colFirst="0" w:colLast="0" w:name="_ysqlccffh67p" w:id="0"/>
      <w:bookmarkEnd w:id="0"/>
      <w:r w:rsidDel="00000000" w:rsidR="00000000" w:rsidRPr="00000000">
        <w:rPr>
          <w:b w:val="1"/>
          <w:bCs w:val="1"/>
          <w:color w:val="1b1b1b"/>
          <w:sz w:val="90"/>
          <w:szCs w:val="90"/>
          <w:rtl w:val="0"/>
        </w:rPr>
        <w:t xml:space="preserve">M&amp;G's PruFund returns to inflow of £200m</w:t>
      </w:r>
      <w:r w:rsidDel="00000000" w:rsidR="00000000" w:rsidRPr="00000000">
        <w:rPr>
          <w:rtl w:val="0"/>
        </w:rPr>
      </w:r>
    </w:p>
    <w:p w:rsidR="00000000" w:rsidDel="00000000" w:rsidP="00000000" w:rsidRDefault="00000000" w:rsidRPr="00000000" w14:paraId="00000002">
      <w:pPr>
        <w:rPr>
          <w:color w:val="1b1b1b"/>
          <w:sz w:val="27"/>
          <w:szCs w:val="27"/>
        </w:rPr>
      </w:pPr>
      <w:r w:rsidDel="00000000" w:rsidR="00000000" w:rsidRPr="00000000">
        <w:rPr>
          <w:color w:val="1b1b1b"/>
          <w:sz w:val="27"/>
          <w:szCs w:val="27"/>
          <w:rtl w:val="0"/>
        </w:rPr>
        <w:t xml:space="preserve">​</w:t>
      </w:r>
    </w:p>
    <w:p w:rsidR="00000000" w:rsidDel="00000000" w:rsidP="00000000" w:rsidRDefault="00000000" w:rsidRPr="00000000" w14:paraId="00000003">
      <w:pPr>
        <w:pStyle w:val="Heading2"/>
        <w:keepNext w:val="0"/>
        <w:keepLines w:val="0"/>
        <w:spacing w:after="80" w:before="0" w:line="305.46" w:lineRule="auto"/>
        <w:rPr>
          <w:sz w:val="50"/>
          <w:szCs w:val="50"/>
        </w:rPr>
      </w:pPr>
      <w:bookmarkStart w:colFirst="0" w:colLast="0" w:name="_af4s8wiqncyk" w:id="1"/>
      <w:bookmarkEnd w:id="1"/>
      <w:r w:rsidDel="00000000" w:rsidR="00000000" w:rsidRPr="00000000">
        <w:rPr>
          <w:sz w:val="50"/>
          <w:szCs w:val="50"/>
          <w:rtl w:val="0"/>
        </w:rPr>
        <w:t xml:space="preserve">PruFund, a flagship product for M&amp;G, returned to a net inflow position in the second half of 2025 following improved market conditions.</w:t>
      </w:r>
    </w:p>
    <w:p w:rsidR="00000000" w:rsidDel="00000000" w:rsidP="00000000" w:rsidRDefault="00000000" w:rsidRPr="00000000" w14:paraId="00000004">
      <w:pPr>
        <w:spacing w:after="280" w:before="280" w:lineRule="auto"/>
        <w:rPr>
          <w:color w:val="1b1b1b"/>
          <w:sz w:val="27"/>
          <w:szCs w:val="27"/>
        </w:rPr>
      </w:pPr>
      <w:r w:rsidDel="00000000" w:rsidR="00000000" w:rsidRPr="00000000">
        <w:rPr>
          <w:color w:val="1b1b1b"/>
          <w:sz w:val="27"/>
          <w:szCs w:val="27"/>
          <w:rtl w:val="0"/>
        </w:rPr>
        <w:t xml:space="preserve">M&amp;G’s PruFund range has returned to net inflows of £200m up from outflows of £900m in 2024, despite it not being launched on FNZ platforms yet.</w:t>
      </w:r>
    </w:p>
    <w:p w:rsidR="00000000" w:rsidDel="00000000" w:rsidP="00000000" w:rsidRDefault="00000000" w:rsidRPr="00000000" w14:paraId="00000005">
      <w:pPr>
        <w:spacing w:after="280" w:before="280" w:lineRule="auto"/>
        <w:rPr>
          <w:color w:val="1b1b1b"/>
          <w:sz w:val="27"/>
          <w:szCs w:val="27"/>
        </w:rPr>
      </w:pPr>
      <w:r w:rsidDel="00000000" w:rsidR="00000000" w:rsidRPr="00000000">
        <w:rPr>
          <w:color w:val="1b1b1b"/>
          <w:sz w:val="27"/>
          <w:szCs w:val="27"/>
          <w:rtl w:val="0"/>
        </w:rPr>
        <w:t xml:space="preserve">In its full year results for 2025, PruFund, a flagship product for M&amp;G, returned to a net inflow position in the second half of 2025 following improved market conditions.</w:t>
      </w:r>
    </w:p>
    <w:p w:rsidR="00000000" w:rsidDel="00000000" w:rsidP="00000000" w:rsidRDefault="00000000" w:rsidRPr="00000000" w14:paraId="00000006">
      <w:pPr>
        <w:spacing w:after="280" w:before="280" w:lineRule="auto"/>
        <w:rPr>
          <w:color w:val="1b1b1b"/>
          <w:sz w:val="27"/>
          <w:szCs w:val="27"/>
        </w:rPr>
      </w:pPr>
      <w:r w:rsidDel="00000000" w:rsidR="00000000" w:rsidRPr="00000000">
        <w:rPr>
          <w:color w:val="1b1b1b"/>
          <w:sz w:val="27"/>
          <w:szCs w:val="27"/>
          <w:rtl w:val="0"/>
        </w:rPr>
        <w:t xml:space="preserve">Despite CEO Andrea Rossi telling Citywire in September that the range would be launched on FNZ platforms early this year, it is understood this has yet to happen.</w:t>
      </w:r>
    </w:p>
    <w:p w:rsidR="00000000" w:rsidDel="00000000" w:rsidP="00000000" w:rsidRDefault="00000000" w:rsidRPr="00000000" w14:paraId="00000007">
      <w:pPr>
        <w:spacing w:after="280" w:before="280" w:lineRule="auto"/>
        <w:rPr>
          <w:color w:val="1b1b1b"/>
          <w:sz w:val="27"/>
          <w:szCs w:val="27"/>
        </w:rPr>
      </w:pPr>
      <w:r w:rsidDel="00000000" w:rsidR="00000000" w:rsidRPr="00000000">
        <w:rPr>
          <w:color w:val="1b1b1b"/>
          <w:sz w:val="27"/>
          <w:szCs w:val="27"/>
          <w:rtl w:val="0"/>
        </w:rPr>
        <w:t xml:space="preserve">Its results said ‘integration of PruFund on FNZ technology will enable access to the digital platform market’. One source familiar with the business told Citywire that it is still being built.</w:t>
      </w:r>
    </w:p>
    <w:p w:rsidR="00000000" w:rsidDel="00000000" w:rsidP="00000000" w:rsidRDefault="00000000" w:rsidRPr="00000000" w14:paraId="00000008">
      <w:pPr>
        <w:spacing w:after="280" w:before="280" w:lineRule="auto"/>
        <w:rPr>
          <w:color w:val="1b1b1b"/>
          <w:sz w:val="27"/>
          <w:szCs w:val="27"/>
        </w:rPr>
      </w:pPr>
      <w:r w:rsidDel="00000000" w:rsidR="00000000" w:rsidRPr="00000000">
        <w:rPr>
          <w:color w:val="1b1b1b"/>
          <w:sz w:val="27"/>
          <w:szCs w:val="27"/>
          <w:rtl w:val="0"/>
        </w:rPr>
        <w:t xml:space="preserve">M&amp;G’s overall life business, which includes its wealth, annuities and the PruFund range, saw £800m of net inflows up from £1bn outflows the year previous. </w:t>
      </w:r>
    </w:p>
    <w:p w:rsidR="00000000" w:rsidDel="00000000" w:rsidP="00000000" w:rsidRDefault="00000000" w:rsidRPr="00000000" w14:paraId="00000009">
      <w:pPr>
        <w:spacing w:after="280" w:before="280" w:lineRule="auto"/>
        <w:rPr>
          <w:color w:val="1b1b1b"/>
          <w:sz w:val="27"/>
          <w:szCs w:val="27"/>
        </w:rPr>
      </w:pPr>
      <w:r w:rsidDel="00000000" w:rsidR="00000000" w:rsidRPr="00000000">
        <w:rPr>
          <w:color w:val="1b1b1b"/>
          <w:sz w:val="27"/>
          <w:szCs w:val="27"/>
          <w:rtl w:val="0"/>
        </w:rPr>
        <w:t xml:space="preserve">M&amp;G said the position reflected the bulk purchase annuities transactions which contributed £1.5bn inflows and an improvement in PruFund outflows during the year. </w:t>
      </w:r>
    </w:p>
    <w:p w:rsidR="00000000" w:rsidDel="00000000" w:rsidP="00000000" w:rsidRDefault="00000000" w:rsidRPr="00000000" w14:paraId="0000000A">
      <w:pPr>
        <w:spacing w:after="280" w:before="280" w:lineRule="auto"/>
        <w:rPr>
          <w:color w:val="1b1b1b"/>
          <w:sz w:val="27"/>
          <w:szCs w:val="27"/>
        </w:rPr>
      </w:pPr>
      <w:r w:rsidDel="00000000" w:rsidR="00000000" w:rsidRPr="00000000">
        <w:rPr>
          <w:color w:val="1b1b1b"/>
          <w:sz w:val="27"/>
          <w:szCs w:val="27"/>
          <w:rtl w:val="0"/>
        </w:rPr>
        <w:t xml:space="preserve">‘The reduction in net outflows reflects a return to a net inflow position in the second half of the year following a recovery in the markets after volatility earlier in the year,’ M&amp;G said. </w:t>
      </w:r>
    </w:p>
    <w:p w:rsidR="00000000" w:rsidDel="00000000" w:rsidP="00000000" w:rsidRDefault="00000000" w:rsidRPr="00000000" w14:paraId="0000000B">
      <w:pPr>
        <w:spacing w:after="280" w:before="280" w:lineRule="auto"/>
        <w:rPr>
          <w:color w:val="1b1b1b"/>
          <w:sz w:val="27"/>
          <w:szCs w:val="27"/>
        </w:rPr>
      </w:pPr>
      <w:r w:rsidDel="00000000" w:rsidR="00000000" w:rsidRPr="00000000">
        <w:rPr>
          <w:color w:val="1b1b1b"/>
          <w:sz w:val="27"/>
          <w:szCs w:val="27"/>
          <w:rtl w:val="0"/>
        </w:rPr>
        <w:t xml:space="preserve">The M&amp;G Wealth platform business has had a turbulent couple of years, with a failed sale and threats of a wind down which saw advisers leave the platform. In its overall platform and advice business there were outflows of £28m in 2025, down slightly from the year previous which saw outflows of £31m.</w:t>
      </w:r>
    </w:p>
    <w:p w:rsidR="00000000" w:rsidDel="00000000" w:rsidP="00000000" w:rsidRDefault="00000000" w:rsidRPr="00000000" w14:paraId="0000000C">
      <w:pPr>
        <w:spacing w:after="280" w:before="280" w:lineRule="auto"/>
        <w:rPr>
          <w:color w:val="1b1b1b"/>
          <w:sz w:val="27"/>
          <w:szCs w:val="27"/>
        </w:rPr>
      </w:pPr>
      <w:r w:rsidDel="00000000" w:rsidR="00000000" w:rsidRPr="00000000">
        <w:rPr>
          <w:color w:val="1b1b1b"/>
          <w:sz w:val="27"/>
          <w:szCs w:val="27"/>
          <w:rtl w:val="0"/>
        </w:rPr>
        <w:t xml:space="preserve">It said: ‘Increased outflows from our adviser platform business, following our strategic repositioning announced in 2024 and expected run-off from our other small closed books of business offset the net client inflows from open business.’</w:t>
      </w:r>
    </w:p>
    <w:p w:rsidR="00000000" w:rsidDel="00000000" w:rsidP="00000000" w:rsidRDefault="00000000" w:rsidRPr="00000000" w14:paraId="0000000D">
      <w:pPr>
        <w:spacing w:after="280" w:before="280" w:lineRule="auto"/>
        <w:rPr>
          <w:color w:val="1b1b1b"/>
          <w:sz w:val="27"/>
          <w:szCs w:val="27"/>
        </w:rPr>
      </w:pPr>
      <w:r w:rsidDel="00000000" w:rsidR="00000000" w:rsidRPr="00000000">
        <w:rPr>
          <w:color w:val="1b1b1b"/>
          <w:sz w:val="27"/>
          <w:szCs w:val="27"/>
          <w:rtl w:val="0"/>
        </w:rPr>
        <w:t xml:space="preserve">In October last year, Citywire reported that M&amp;G is in advanced talks with SS&amp;C Hubwise to outsource its platform operations after a sale process that dragged on for nearly two years failed to find a buyer. </w:t>
      </w:r>
    </w:p>
    <w:p w:rsidR="00000000" w:rsidDel="00000000" w:rsidP="00000000" w:rsidRDefault="00000000" w:rsidRPr="00000000" w14:paraId="0000000E">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