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b w:val="1"/>
          <w:bCs w:val="1"/>
          <w:color w:val="1b1b1b"/>
          <w:sz w:val="90"/>
          <w:szCs w:val="90"/>
        </w:rPr>
      </w:pPr>
      <w:bookmarkStart w:colFirst="0" w:colLast="0" w:name="_rf8ldb3q1w63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M&amp;G flows turn positive as firm grows international clients</w:t>
      </w:r>
    </w:p>
    <w:p w:rsidR="00000000" w:rsidDel="00000000" w:rsidP="00000000" w:rsidRDefault="00000000" w:rsidRPr="00000000" w14:paraId="00000002">
      <w:pPr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​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Summarise</w:t>
      </w:r>
    </w:p>
    <w:p w:rsidR="00000000" w:rsidDel="00000000" w:rsidP="00000000" w:rsidRDefault="00000000" w:rsidRPr="00000000" w14:paraId="00000004">
      <w:pPr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​</w:t>
      </w:r>
    </w:p>
    <w:p w:rsidR="00000000" w:rsidDel="00000000" w:rsidP="00000000" w:rsidRDefault="00000000" w:rsidRPr="00000000" w14:paraId="00000005">
      <w:pPr>
        <w:spacing w:after="320" w:before="0" w:lineRule="auto"/>
        <w:rPr>
          <w:sz w:val="17"/>
          <w:szCs w:val="1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Tara O'Connor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M&amp;G saw flows swing back to positive in 2025 following growth with its international client base, its annual results show. 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Article continues after advert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results, published today (March 12), showed the company recorded £7.8bn net flows in the year, compared with £1.9bn of outflows in 2024. </w:t>
      </w:r>
    </w:p>
    <w:p w:rsidR="00000000" w:rsidDel="00000000" w:rsidP="00000000" w:rsidRDefault="00000000" w:rsidRPr="00000000" w14:paraId="00000009">
      <w:pPr>
        <w:spacing w:after="280" w:before="280" w:lineRule="auto"/>
        <w:rPr>
          <w:color w:val="1b1b1b"/>
          <w:sz w:val="27"/>
          <w:szCs w:val="27"/>
        </w:rPr>
      </w:pPr>
      <w:hyperlink r:id="rId6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M&amp;G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 said this change was driven by its asset management arm and a return to growth in its life business. </w:t>
      </w:r>
    </w:p>
    <w:p w:rsidR="00000000" w:rsidDel="00000000" w:rsidP="00000000" w:rsidRDefault="00000000" w:rsidRPr="00000000" w14:paraId="0000000A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Total assets under management stood at £375.9bn for the year, up from £345.9bn. </w:t>
      </w:r>
    </w:p>
    <w:p w:rsidR="00000000" w:rsidDel="00000000" w:rsidP="00000000" w:rsidRDefault="00000000" w:rsidRPr="00000000" w14:paraId="0000000B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There were £7bn of net inflows in asset management, representing 4.4 per cent of total AUM. </w:t>
      </w:r>
    </w:p>
    <w:p w:rsidR="00000000" w:rsidDel="00000000" w:rsidP="00000000" w:rsidRDefault="00000000" w:rsidRPr="00000000" w14:paraId="0000000C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And, almost 60 per cent of its asset management AUM comes from international clients, a rise of 37 per cent compared with five years ago. </w:t>
      </w:r>
    </w:p>
    <w:p w:rsidR="00000000" w:rsidDel="00000000" w:rsidP="00000000" w:rsidRDefault="00000000" w:rsidRPr="00000000" w14:paraId="0000000D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Andrea Rossi, group CEO, said: “In Life, we materially increased bulk purchase annuity (BPA) volumes, and brought PruFund back into sustained net inflows in the second half.</w:t>
      </w:r>
    </w:p>
    <w:p w:rsidR="00000000" w:rsidDel="00000000" w:rsidP="00000000" w:rsidRDefault="00000000" w:rsidRPr="00000000" w14:paraId="0000000E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“We expect this momentum across the business to continue in 2026, as we move forward on our growth journey also leveraging our recently launched With-Profits BPA proposition.</w:t>
      </w:r>
    </w:p>
    <w:p w:rsidR="00000000" w:rsidDel="00000000" w:rsidP="00000000" w:rsidRDefault="00000000" w:rsidRPr="00000000" w14:paraId="0000000F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“With a clear strategy and the right resources in place, I am confident in M&amp;G’s ability to deliver meaningful profit acceleration and sustainable long-term value for customers, clients and shareholders.”</w:t>
      </w:r>
    </w:p>
    <w:p w:rsidR="00000000" w:rsidDel="00000000" w:rsidP="00000000" w:rsidRDefault="00000000" w:rsidRPr="00000000" w14:paraId="00000010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It also announced a total dividend of 20.5p per share, up 2 per cent on last year’s 20.1p.</w:t>
      </w:r>
    </w:p>
    <w:p w:rsidR="00000000" w:rsidDel="00000000" w:rsidP="00000000" w:rsidRDefault="00000000" w:rsidRPr="00000000" w14:paraId="00000011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In 2025, M&amp;G managed to make £250mn of cost savings, which it said beat its target. </w:t>
      </w:r>
    </w:p>
    <w:p w:rsidR="00000000" w:rsidDel="00000000" w:rsidP="00000000" w:rsidRDefault="00000000" w:rsidRPr="00000000" w14:paraId="00000012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In January, the company</w:t>
      </w:r>
      <w:hyperlink r:id="rId7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 appointed a new chief transformation officer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, Simon Tasker.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tadviser.com/mg-plc/" TargetMode="External"/><Relationship Id="rId7" Type="http://schemas.openxmlformats.org/officeDocument/2006/relationships/hyperlink" Target="https://www.ftadviser.com/content/4742d618-f301-4456-979d-2f5ee2681ef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