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2376ahf1mi00" w:id="0"/>
      <w:bookmarkEnd w:id="0"/>
      <w:r w:rsidDel="00000000" w:rsidR="00000000" w:rsidRPr="00000000">
        <w:rPr>
          <w:b w:val="1"/>
          <w:bCs w:val="1"/>
          <w:color w:val="1b1b1b"/>
          <w:sz w:val="90"/>
          <w:szCs w:val="90"/>
          <w:rtl w:val="0"/>
        </w:rPr>
        <w:t xml:space="preserve">Expecto return-um’: M&amp;G cashes in on new Harry Potter store</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qbkj09h2m5zd" w:id="1"/>
      <w:bookmarkEnd w:id="1"/>
      <w:r w:rsidDel="00000000" w:rsidR="00000000" w:rsidRPr="00000000">
        <w:rPr>
          <w:sz w:val="50"/>
          <w:szCs w:val="50"/>
          <w:rtl w:val="0"/>
        </w:rPr>
        <w:t xml:space="preserve">The new Oxford Street store will follow similar projects in New York, Chicago and Tokyo.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 central London property redevelopment, backed by M&amp;G’s £130bn With Profits fund, is being used as the UK’s first Harry Potter flagship store.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two floor property, based at the £250m redevelopment named The Ribbon on Oxford Street, will be leased to Warner Brothers. The shop opening follows similar openings in New York, Chicago and Tokyo.</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Ciaran Mulligan, CIO at M&amp;G Life, said: ‘This deal shows how the high street can bring some magic to your pension investments.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‘Through the scale of the With Profits fund, we can take on major redevelopments like this and turn historic sites into vibrant destinations that support our customers for years to come. By working closely with the real estate asset management team, we’re helping to bring new life to Oxford Street’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real estate investment is part of M&amp;G With Profits’ large allocation to private markets, which amounts to around </w:t>
      </w:r>
      <w:hyperlink r:id="rId6">
        <w:r w:rsidDel="00000000" w:rsidR="00000000" w:rsidRPr="00000000">
          <w:rPr>
            <w:color w:val="416ed2"/>
            <w:sz w:val="27"/>
            <w:szCs w:val="27"/>
            <w:rtl w:val="0"/>
          </w:rPr>
          <w:t xml:space="preserve">£30bn of its allocation</w:t>
        </w:r>
      </w:hyperlink>
      <w:r w:rsidDel="00000000" w:rsidR="00000000" w:rsidRPr="00000000">
        <w:rPr>
          <w:color w:val="1b1b1b"/>
          <w:sz w:val="27"/>
          <w:szCs w:val="27"/>
          <w:rtl w:val="0"/>
        </w:rPr>
        <w:t xml:space="preserve">. In January the With Profits vehicle seeded a </w:t>
      </w:r>
      <w:hyperlink r:id="rId7">
        <w:r w:rsidDel="00000000" w:rsidR="00000000" w:rsidRPr="00000000">
          <w:rPr>
            <w:color w:val="416ed2"/>
            <w:sz w:val="27"/>
            <w:szCs w:val="27"/>
            <w:rtl w:val="0"/>
          </w:rPr>
          <w:t xml:space="preserve">new infrastructure fund</w:t>
        </w:r>
      </w:hyperlink>
      <w:r w:rsidDel="00000000" w:rsidR="00000000" w:rsidRPr="00000000">
        <w:rPr>
          <w:color w:val="1b1b1b"/>
          <w:sz w:val="27"/>
          <w:szCs w:val="27"/>
          <w:rtl w:val="0"/>
        </w:rPr>
        <w:t xml:space="preserve"> that backs social projects.</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itywire.com/new-model-adviser/news/how-m-and-g-s-with-profits-fund-can-stomach-30bn-in-private-markets/a2442897?utm_medium=website&amp;utm_source=citywire_nma&amp;utm_campaign=article-in-body" TargetMode="External"/><Relationship Id="rId7" Type="http://schemas.openxmlformats.org/officeDocument/2006/relationships/hyperlink" Target="https://citywire.com/new-model-adviser/news/m-and-g-launches-social-investment-fund-in-1bn-infrastructure-push/a2482273?utm_medium=website&amp;utm_source=citywire_nma&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