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yj194rq5j2gv" w:id="0"/>
      <w:bookmarkEnd w:id="0"/>
      <w:r w:rsidDel="00000000" w:rsidR="00000000" w:rsidRPr="00000000">
        <w:rPr>
          <w:b w:val="1"/>
          <w:bCs w:val="1"/>
          <w:color w:val="1b1b1b"/>
          <w:sz w:val="90"/>
          <w:szCs w:val="90"/>
          <w:rtl w:val="0"/>
        </w:rPr>
        <w:t xml:space="preserve">M&amp;G completes illiquid asset transfer to secure £60m BPA deal</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pStyle w:val="Heading2"/>
        <w:keepNext w:val="0"/>
        <w:keepLines w:val="0"/>
        <w:spacing w:after="80" w:before="0" w:line="305.46" w:lineRule="auto"/>
        <w:rPr>
          <w:sz w:val="50"/>
          <w:szCs w:val="50"/>
        </w:rPr>
      </w:pPr>
      <w:bookmarkStart w:colFirst="0" w:colLast="0" w:name="_6k7jjubluyz" w:id="1"/>
      <w:bookmarkEnd w:id="1"/>
      <w:r w:rsidDel="00000000" w:rsidR="00000000" w:rsidRPr="00000000">
        <w:rPr>
          <w:sz w:val="50"/>
          <w:szCs w:val="50"/>
          <w:rtl w:val="0"/>
        </w:rPr>
        <w:t xml:space="preserve">Transaction with unnamed scheme secures the benefits of over 750 members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transaction was completed by M&amp;G's wholly-owned subsidiary Prudential Assurance Company and was made possible through </w:t>
      </w:r>
      <w:hyperlink r:id="rId6">
        <w:r w:rsidDel="00000000" w:rsidR="00000000" w:rsidRPr="00000000">
          <w:rPr>
            <w:color w:val="416ed2"/>
            <w:sz w:val="27"/>
            <w:szCs w:val="27"/>
            <w:rtl w:val="0"/>
          </w:rPr>
          <w:t xml:space="preserve">the insurer's with-profits fund</w:t>
        </w:r>
      </w:hyperlink>
      <w:r w:rsidDel="00000000" w:rsidR="00000000" w:rsidRPr="00000000">
        <w:rPr>
          <w:color w:val="1b1b1b"/>
          <w:sz w:val="27"/>
          <w:szCs w:val="27"/>
          <w:rtl w:val="0"/>
        </w:rPr>
        <w:t xml:space="preserve"> entering into a market transaction at the same time to purchase an illiquid asset in-specie from the pension scheme.</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M&amp;G said its ability to invest in illiquid assets through its with-profits fund "enabled a mutually beneficial solution to be created for the fund, the scheme and its members".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trustee was advised during the process by Gallagher, with the firm acting as risk transfer broker after its appointment in 2025. Independent Governance Group (IGG) was independent trustee to the pension scheme and Sackers provided legal advice.</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Trustee chair (of IGG) Roger Mattingly said: "We are pleased to have partnered with M&amp;G on this transaction. Its bespoke solution in addressing the trustee's illiquid asset challenge was instrumental in achieving the objectives of both the trustee and the sponsor.</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"I would like to extend my gratitude to our risk transfer adviser, Gallagher, whose expert guidance, and strong project management ensured a seamless and efficient process. I would also like to thank our legal adviser, Sackers, for its clear and pragmatic advice throughout. This collaboration has delivered a fantastic outcome for the long-term security of member benefits."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M&amp;G head of bulk annuity origination and execution Rosie Fantom added: "We are delighted to partner with the trustee to help secure the long-term financial future of more than 750 members.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"This transaction exemplifies how we can deliver tailored solutions for schemes of all sizes facing particular challenges, by drawing on the strength and flexibility of our wider business. By accepting the illiquid asset in-specie, in a mutually beneficial transaction, we were able to resolve a major obstacle for the trustee, allowing the pension scheme and sponsor to reduce risks by insuring members' benefits. We look forward to supporting more schemes as they navigate their de-risking journeys and achieve greater certainty for members."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Gallagher senior risk transfer actuary Callum Slattery commented: "It was a privilege to advise the trustee on this unique transaction. M&amp;G demonstrated a willingness to understand the scheme's specific needs and work creatively with the trustee to address the challenge posed by the scheme's illiquid assets. Its ability to craft a bespoke solution made it a natural partner for this transaction. I am grateful to M&amp;G, the IGG team and our co-advisers for their collaboration and shared appreciation for the scheme's objectives. This collective effort has delivered an outstanding result for members."</w:t>
      </w:r>
    </w:p>
    <w:p w:rsidR="00000000" w:rsidDel="00000000" w:rsidP="00000000" w:rsidRDefault="00000000" w:rsidRPr="00000000" w14:paraId="0000000E">
      <w:pPr>
        <w:spacing w:after="280" w:before="280" w:lineRule="auto"/>
        <w:rPr>
          <w:color w:val="416ed2"/>
          <w:sz w:val="27"/>
          <w:szCs w:val="27"/>
        </w:rPr>
      </w:pPr>
      <w:hyperlink r:id="rId7">
        <w:r w:rsidDel="00000000" w:rsidR="00000000" w:rsidRPr="00000000">
          <w:rPr>
            <w:color w:val="416ed2"/>
            <w:sz w:val="27"/>
            <w:szCs w:val="27"/>
            <w:rtl w:val="0"/>
          </w:rPr>
          <w:t xml:space="preserve">M&amp;G completed £1.5bn of BPA deals in 2025</w:t>
        </w:r>
      </w:hyperlink>
      <w:r w:rsidDel="00000000" w:rsidR="00000000" w:rsidRPr="00000000">
        <w:rPr>
          <w:color w:val="1b1b1b"/>
          <w:sz w:val="27"/>
          <w:szCs w:val="27"/>
          <w:rtl w:val="0"/>
        </w:rPr>
        <w:t xml:space="preserve">, including a </w:t>
      </w:r>
      <w:hyperlink r:id="rId8">
        <w:r w:rsidDel="00000000" w:rsidR="00000000" w:rsidRPr="00000000">
          <w:rPr>
            <w:color w:val="416ed2"/>
            <w:sz w:val="27"/>
            <w:szCs w:val="27"/>
            <w:rtl w:val="0"/>
          </w:rPr>
          <w:t xml:space="preserve">£205m buy-in with the Huntsman Pension Scheme</w:t>
        </w:r>
      </w:hyperlink>
      <w:r w:rsidDel="00000000" w:rsidR="00000000" w:rsidRPr="00000000">
        <w:rPr>
          <w:color w:val="1b1b1b"/>
          <w:sz w:val="27"/>
          <w:szCs w:val="27"/>
          <w:rtl w:val="0"/>
        </w:rPr>
        <w:t xml:space="preserve">, a </w:t>
      </w:r>
      <w:hyperlink r:id="rId9">
        <w:r w:rsidDel="00000000" w:rsidR="00000000" w:rsidRPr="00000000">
          <w:rPr>
            <w:color w:val="416ed2"/>
            <w:sz w:val="27"/>
            <w:szCs w:val="27"/>
            <w:rtl w:val="0"/>
          </w:rPr>
          <w:t xml:space="preserve">£265m combined buy-in transaction covering two CF Fertilisers schemes</w:t>
        </w:r>
      </w:hyperlink>
      <w:r w:rsidDel="00000000" w:rsidR="00000000" w:rsidRPr="00000000">
        <w:rPr>
          <w:color w:val="1b1b1b"/>
          <w:sz w:val="27"/>
          <w:szCs w:val="27"/>
          <w:rtl w:val="0"/>
        </w:rPr>
        <w:t xml:space="preserve">, and a </w:t>
      </w:r>
      <w:hyperlink r:id="rId10">
        <w:r w:rsidDel="00000000" w:rsidR="00000000" w:rsidRPr="00000000">
          <w:rPr>
            <w:color w:val="416ed2"/>
            <w:sz w:val="27"/>
            <w:szCs w:val="27"/>
            <w:rtl w:val="0"/>
          </w:rPr>
          <w:t xml:space="preserve">£111m buy-in with the scheme sponsored by a UK asset manager.</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professionalpensions.com/news/4409996/scheme-uk-asset-manager-secures-gbp111m-bpa-deal" TargetMode="External"/><Relationship Id="rId9" Type="http://schemas.openxmlformats.org/officeDocument/2006/relationships/hyperlink" Target="https://www.professionalpensions.com/news/4522583/cf-fertilisers-complete-265m-combined-transaction" TargetMode="External"/><Relationship Id="rId5" Type="http://schemas.openxmlformats.org/officeDocument/2006/relationships/styles" Target="styles.xml"/><Relationship Id="rId6" Type="http://schemas.openxmlformats.org/officeDocument/2006/relationships/hyperlink" Target="https://www.professionalpensions.com/news/4526862/completes-profits-bpa-announces-15bn-volumes-2025" TargetMode="External"/><Relationship Id="rId7" Type="http://schemas.openxmlformats.org/officeDocument/2006/relationships/hyperlink" Target="https://www.professionalpensions.com/news/4526862/completes-profits-bpa-announces-15bn-volumes-2025" TargetMode="External"/><Relationship Id="rId8" Type="http://schemas.openxmlformats.org/officeDocument/2006/relationships/hyperlink" Target="https://www.professionalpensions.com/news/4516762/huntsman-pension-scheme-secures-gbp205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