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kjw3qe9mddzs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partners with Chinese broker to expand global market access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Investments has signed a strategic cooperation agreement with China-based Guotai Haitong Securities to help Chinese investors tap into global markets and accelerate both firms’ growth in the fast-evolving wealth management space.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Memorandum of Understanding, announced today (14 July), will see M&amp;G combine its global investment expertise with the onshore strength of Guotai Haitong, China’s largest securities firm.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partnership comes as China’s asset management industry continues to undergo regulatory reforms and is projected to reach $40.4trn by 2030.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collaboration will focus on four areas: information sharing; asset management development; client engagement; and investment market promotion.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two firms are already working on a co-branded, Asia-focused fixed-income solution, with further launches expected over the coming months. Additional initiatives include QDII-eligible products, investment advisory services and expanded distribution arrangements.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said the partnership will allow it to deepen its footprint in China and leverage Guotai Haitong’s vast client base, while Guotai Haitong will benefit from access to M&amp;G’s global investment capabilities to meet the rising demand among Chinese investors for international diversification.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part of the strategy,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 M&amp;G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will also strengthen its Hong Kong-based portfolio management and distribution teams to support cross-border investment and take part in regional wealth management schemes.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Joseph Pinto, CEO of M&amp;G Investments, said: “Asia remains one of the most dynamic and fast-growing regions globally. This collaboration reflects our shared commitment to delivering high-quality investment solutions and expanding global market access for Chinese investors.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“With Guotai Haitong’s strong position in Shanghai and Hong Kong, and our global expertise, this is a natural partnership that reinforces our long-term commitment to Asia, with China a strategic priority.”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spokesperson for Guotai Haitong Securities added: “Partnering with M&amp;G enhances our product capabilities and helps us offer more diversified offshore investment solutions.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supports our broader goal of delivering forward-looking wealth management services that meet the evolving needs of Chinese investors.”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tag/mg-investm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