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lj15xk78ahoh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American investors pile into UK shares in boost to London market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="305.46" w:lineRule="auto"/>
        <w:rPr>
          <w:sz w:val="50"/>
          <w:szCs w:val="50"/>
        </w:rPr>
      </w:pPr>
      <w:bookmarkStart w:colFirst="0" w:colLast="0" w:name="_vzwq3uc97691" w:id="1"/>
      <w:bookmarkEnd w:id="1"/>
      <w:r w:rsidDel="00000000" w:rsidR="00000000" w:rsidRPr="00000000">
        <w:rPr>
          <w:sz w:val="50"/>
          <w:szCs w:val="50"/>
          <w:rtl w:val="0"/>
        </w:rPr>
        <w:t xml:space="preserve">More than $15 billion has been pumped in since the start of year in a sign that equities on the LSE are relatively cheap and Britain is seen as a safe haven</w:t>
      </w:r>
    </w:p>
    <w:p w:rsidR="00000000" w:rsidDel="00000000" w:rsidP="00000000" w:rsidRDefault="00000000" w:rsidRPr="00000000" w14:paraId="00000003">
      <w:pPr>
        <w:spacing w:after="320" w:before="0" w:lineRule="auto"/>
        <w:rPr>
          <w:color w:val="1b1b1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American investors have pumped more than $15 billion into UK equities since the start of the year — more than into other overseas markets — according to new data that provides a boost to the embattled London Stock Exchange (LSE).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FTSE 100 is trading at record highs, suggesting Britain is seen as a relatively safe haven for investors in the face of political and economic </w:t>
      </w:r>
    </w:p>
    <w:p w:rsidR="00000000" w:rsidDel="00000000" w:rsidP="00000000" w:rsidRDefault="00000000" w:rsidRPr="00000000" w14:paraId="00000006">
      <w:pPr>
        <w:spacing w:after="280" w:before="280" w:lineRule="auto"/>
        <w:rPr/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Among the big companies on the FTSE 100 to have attracted overseas investors is the fund manager M&amp;G, in which the Japanese insurer Dai-ichi Life is planning to take a 15 per cent stake as part of a strategic partnership.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