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q1su9l9k5jld" w:id="0"/>
      <w:bookmarkEnd w:id="0"/>
      <w:r w:rsidDel="00000000" w:rsidR="00000000" w:rsidRPr="00000000">
        <w:rPr>
          <w:b w:val="1"/>
          <w:bCs w:val="1"/>
          <w:color w:val="1b1b1b"/>
          <w:sz w:val="90"/>
          <w:szCs w:val="90"/>
          <w:rtl w:val="0"/>
        </w:rPr>
        <w:t xml:space="preserve">Apollo considered M&amp;G as takeover target</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17"/>
          <w:szCs w:val="17"/>
        </w:rPr>
      </w:pPr>
      <w:bookmarkStart w:colFirst="0" w:colLast="0" w:name="_fdwmq0tlvagp" w:id="1"/>
      <w:bookmarkEnd w:id="1"/>
      <w:r w:rsidDel="00000000" w:rsidR="00000000" w:rsidRPr="00000000">
        <w:rPr>
          <w:sz w:val="50"/>
          <w:szCs w:val="50"/>
          <w:rtl w:val="0"/>
        </w:rPr>
        <w:t xml:space="preserve">Chief of FTSE 100 fund group says ‘there is no engagement’ with private capital groups</w:t>
      </w:r>
      <w:r w:rsidDel="00000000" w:rsidR="00000000" w:rsidRPr="00000000">
        <w:rPr>
          <w:rtl w:val="0"/>
        </w:rPr>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Apollo Global Management examined a potential takeover of London-listed fund group M&amp;G earlier this year, as private capital groups seek acquisitions to push further into Europe’s lucrative retirement sector.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Apollo and Athora, a European insurance group created by the private capital firm, studied the FTSE 100 insurance and asset management group as part of a list of possible takeover targets, according to people familiar with the situation.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Andrea Rossi, chief executive of </w:t>
      </w:r>
      <w:hyperlink r:id="rId6">
        <w:r w:rsidDel="00000000" w:rsidR="00000000" w:rsidRPr="00000000">
          <w:rPr>
            <w:color w:val="416ed2"/>
            <w:sz w:val="27"/>
            <w:szCs w:val="27"/>
            <w:rtl w:val="0"/>
          </w:rPr>
          <w:t xml:space="preserve">M&amp;G</w:t>
        </w:r>
      </w:hyperlink>
      <w:r w:rsidDel="00000000" w:rsidR="00000000" w:rsidRPr="00000000">
        <w:rPr>
          <w:color w:val="1b1b1b"/>
          <w:sz w:val="27"/>
          <w:szCs w:val="27"/>
          <w:rtl w:val="0"/>
        </w:rPr>
        <w:t xml:space="preserve">, told the Financial Times on Wednesday that “there is no engagement” between the company and private capital groups that were looking for deals.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Apollo and Athora looked at a wide range of companies before deciding to strike a </w:t>
      </w:r>
      <w:hyperlink r:id="rId7">
        <w:r w:rsidDel="00000000" w:rsidR="00000000" w:rsidRPr="00000000">
          <w:rPr>
            <w:color w:val="416ed2"/>
            <w:sz w:val="27"/>
            <w:szCs w:val="27"/>
            <w:rtl w:val="0"/>
          </w:rPr>
          <w:t xml:space="preserve">deal to acquire</w:t>
        </w:r>
      </w:hyperlink>
      <w:r w:rsidDel="00000000" w:rsidR="00000000" w:rsidRPr="00000000">
        <w:rPr>
          <w:color w:val="1b1b1b"/>
          <w:sz w:val="27"/>
          <w:szCs w:val="27"/>
          <w:rtl w:val="0"/>
        </w:rPr>
        <w:t xml:space="preserve"> UK retirement group Pension Insurance Corporation in July, according to the people familiar with the situation. </w:t>
      </w:r>
    </w:p>
    <w:p w:rsidR="00000000" w:rsidDel="00000000" w:rsidP="00000000" w:rsidRDefault="00000000" w:rsidRPr="00000000" w14:paraId="0000000A">
      <w:pPr>
        <w:spacing w:after="280" w:before="280" w:lineRule="auto"/>
        <w:rPr>
          <w:color w:val="1b1b1b"/>
          <w:sz w:val="27"/>
          <w:szCs w:val="27"/>
        </w:rPr>
      </w:pPr>
      <w:hyperlink r:id="rId8">
        <w:r w:rsidDel="00000000" w:rsidR="00000000" w:rsidRPr="00000000">
          <w:rPr>
            <w:color w:val="416ed2"/>
            <w:sz w:val="27"/>
            <w:szCs w:val="27"/>
            <w:rtl w:val="0"/>
          </w:rPr>
          <w:t xml:space="preserve">Apollo</w:t>
        </w:r>
      </w:hyperlink>
      <w:r w:rsidDel="00000000" w:rsidR="00000000" w:rsidRPr="00000000">
        <w:rPr>
          <w:color w:val="1b1b1b"/>
          <w:sz w:val="27"/>
          <w:szCs w:val="27"/>
          <w:rtl w:val="0"/>
        </w:rPr>
        <w:t xml:space="preserve"> declined to comment.</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Private market groups are circling the insurance sector to access a long-term pool of assets and a reliable income stream. The </w:t>
      </w:r>
      <w:hyperlink r:id="rId9">
        <w:r w:rsidDel="00000000" w:rsidR="00000000" w:rsidRPr="00000000">
          <w:rPr>
            <w:color w:val="416ed2"/>
            <w:sz w:val="27"/>
            <w:szCs w:val="27"/>
            <w:rtl w:val="0"/>
          </w:rPr>
          <w:t xml:space="preserve">pension risk transfer market</w:t>
        </w:r>
      </w:hyperlink>
      <w:r w:rsidDel="00000000" w:rsidR="00000000" w:rsidRPr="00000000">
        <w:rPr>
          <w:color w:val="1b1b1b"/>
          <w:sz w:val="27"/>
          <w:szCs w:val="27"/>
          <w:rtl w:val="0"/>
        </w:rPr>
        <w:t xml:space="preserve">allows companies to offload their future payment obligations as they wind down defined benefit pension plans, handing insurers tens of billions in liabilities. UK demand for pension risk transfer deals is expected to hit £400bn to £600bn through 2033, according to consultancy LCP.</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Asset managers can use the pension pots to invest in infrastructure projects, private credit and other alternative investments they originate — capturing profits above their obligations to policyholders, as well as generating management and performance fees.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“Everyone’s looked at M&amp;G for as long as they’ve been listed,” said one adviser to M&amp;G, referring to its 2019 </w:t>
      </w:r>
      <w:hyperlink r:id="rId10">
        <w:r w:rsidDel="00000000" w:rsidR="00000000" w:rsidRPr="00000000">
          <w:rPr>
            <w:color w:val="416ed2"/>
            <w:sz w:val="27"/>
            <w:szCs w:val="27"/>
            <w:rtl w:val="0"/>
          </w:rPr>
          <w:t xml:space="preserve">spin-off from Prudential</w:t>
        </w:r>
      </w:hyperlink>
      <w:r w:rsidDel="00000000" w:rsidR="00000000" w:rsidRPr="00000000">
        <w:rPr>
          <w:color w:val="1b1b1b"/>
          <w:sz w:val="27"/>
          <w:szCs w:val="27"/>
          <w:rtl w:val="0"/>
        </w:rPr>
        <w:t xml:space="preserve">, which retained its US and Asia-focused businesses.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Speaking as M&amp;G reported its half-year results on Wednesday, Rossi said the FTSE 100 company had a “great independent future ahead of us”.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 think people, when they look at us, they see the strength of the business model; we’re doing extremely well by ourselves,” he added.</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 believe we have a winning model by having a strong asset manager supported by permanent capital. Both businesses [insurance and asset management] are growing.”</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Rossi previously said that the business “has what it takes” to push ahead as a standalone company amid rumours of </w:t>
      </w:r>
      <w:hyperlink r:id="rId11">
        <w:r w:rsidDel="00000000" w:rsidR="00000000" w:rsidRPr="00000000">
          <w:rPr>
            <w:color w:val="416ed2"/>
            <w:sz w:val="27"/>
            <w:szCs w:val="27"/>
            <w:rtl w:val="0"/>
          </w:rPr>
          <w:t xml:space="preserve">a takeover approach</w:t>
        </w:r>
      </w:hyperlink>
      <w:r w:rsidDel="00000000" w:rsidR="00000000" w:rsidRPr="00000000">
        <w:rPr>
          <w:color w:val="1b1b1b"/>
          <w:sz w:val="27"/>
          <w:szCs w:val="27"/>
          <w:rtl w:val="0"/>
        </w:rPr>
        <w:t xml:space="preserve"> from Australian group Macquarie. Schroders also considered a bid for its investment division in 2021.</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M&amp;G, which manages about £355bn of assets, reported £2.1bn of net money flowing into its funds over the six months to the end of June, reversing £1.1bn of outflows over the same period a year ago.</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Rossi said the “strong” flows were underpinned by customers investing in its asset management products and international clients.</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Almost 60 per cent of the group’s third-party assets under management come from international customers, compared with 37 per cent five years ago, as M&amp;G continues to expand across Europe and pushes further into Asia.</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Earlier this year, M&amp;G </w:t>
      </w:r>
      <w:hyperlink r:id="rId12">
        <w:r w:rsidDel="00000000" w:rsidR="00000000" w:rsidRPr="00000000">
          <w:rPr>
            <w:color w:val="416ed2"/>
            <w:sz w:val="27"/>
            <w:szCs w:val="27"/>
            <w:rtl w:val="0"/>
          </w:rPr>
          <w:t xml:space="preserve">acquired a majority stake</w:t>
        </w:r>
      </w:hyperlink>
      <w:r w:rsidDel="00000000" w:rsidR="00000000" w:rsidRPr="00000000">
        <w:rPr>
          <w:color w:val="1b1b1b"/>
          <w:sz w:val="27"/>
          <w:szCs w:val="27"/>
          <w:rtl w:val="0"/>
        </w:rPr>
        <w:t xml:space="preserve"> in Swedish private credit firm P Capital Partners, in the largest deal for M&amp;G since Rossi took the helm in late 2022.</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Analysts at Jefferies said: “M&amp;G remains on track with its ambitions, with assets under management and net flows both materially improving.”</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M&amp;G said it also planned to launch a special insurance product next year called a with-profits bulk purchase annuity — a market that shifts the risk of a company’s defined benefit scheme to an insurer.</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M&amp;G delivered adjusted operating profit before tax of £378mn over the period, up from £375mn a year ago.</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t.com/content/266624b7-de84-4d54-a7c5-393e3fcfc51e" TargetMode="External"/><Relationship Id="rId10" Type="http://schemas.openxmlformats.org/officeDocument/2006/relationships/hyperlink" Target="https://www.ft.com/content/fcfb3367-a0ae-4727-9b8e-4e1122b8fd6a" TargetMode="External"/><Relationship Id="rId12" Type="http://schemas.openxmlformats.org/officeDocument/2006/relationships/hyperlink" Target="https://www.ft.com/content/501c71c9-fdae-41cf-b972-366538e792e4" TargetMode="External"/><Relationship Id="rId9" Type="http://schemas.openxmlformats.org/officeDocument/2006/relationships/hyperlink" Target="https://www.ft.com/content/3e42b4f1-e414-4681-95f8-fdf5ffdb54b4" TargetMode="External"/><Relationship Id="rId5" Type="http://schemas.openxmlformats.org/officeDocument/2006/relationships/styles" Target="styles.xml"/><Relationship Id="rId6" Type="http://schemas.openxmlformats.org/officeDocument/2006/relationships/hyperlink" Target="https://www.ft.com/stream/14e5be4c-c2e0-4958-b6f1-1f4b4c016d81" TargetMode="External"/><Relationship Id="rId7" Type="http://schemas.openxmlformats.org/officeDocument/2006/relationships/hyperlink" Target="https://www.ft.com/content/8202d3cb-5399-416a-8920-9c44187efae0" TargetMode="External"/><Relationship Id="rId8" Type="http://schemas.openxmlformats.org/officeDocument/2006/relationships/hyperlink" Target="https://www.ft.com/stream/74152c2f-00ac-4bd2-afbe-1170bcdc97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