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f675ign5idg5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posts £2.1bn inflows as growth returns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reported £2.1bn of net inflows in the first half of 2025 as strong demand for its asset management arm and retail products, such as PruFund, boosted growth.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result, published today (3 September), marks a turnaround from £3.2bn of outflows a year earlier.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Adjusted operating profit edged up to £378m, while asset management revenues rose to £514m with a tighter cost-to-income ratio of 75%, down from 77%.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also declared an interim dividend of 6.7p per share and strengthened its solvency ratio to 230%. Profit after tax climbed to £248m from a £56m loss a year ago, driven by improved investment returns.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Andrea Rossi said inflows were underpinned by £2.6bn from external clients, supported by robust investment performance and growing international demand, with 58% of third-party assets now from overseas.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its Life business, PruFund delivered improved profits and client inflows thanks to its smoothing mechanism shielding investors from April’s volatility.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also launched a new fixed-term annuity and plans to roll out a with-profits bulk purchase annuity in early 2026, expanding its retirement solutions for advisers and clients.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Rossi said: “The balanced and diversified nature of our business model, as well as the momentum across our Asset Management and Life businesses, gives me confidence for the future.”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tag/m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