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tf5x8ot0y83z" w:id="0"/>
      <w:bookmarkEnd w:id="0"/>
      <w:r w:rsidDel="00000000" w:rsidR="00000000" w:rsidRPr="00000000">
        <w:rPr>
          <w:b w:val="1"/>
          <w:bCs w:val="1"/>
          <w:color w:val="1b1b1b"/>
          <w:sz w:val="90"/>
          <w:szCs w:val="90"/>
          <w:rtl w:val="0"/>
        </w:rPr>
        <w:t xml:space="preserve">Prudential spin-off M&amp;G misses target despite return to growth</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ewr47dwmwzej" w:id="1"/>
      <w:bookmarkEnd w:id="1"/>
      <w:r w:rsidDel="00000000" w:rsidR="00000000" w:rsidRPr="00000000">
        <w:rPr>
          <w:sz w:val="50"/>
          <w:szCs w:val="50"/>
          <w:rtl w:val="0"/>
        </w:rPr>
        <w:t xml:space="preserve">The asset manager and life insurer falls short of market expectations for half-year adjusted operating profit amid record net inflows of £2.6 billion</w:t>
      </w:r>
    </w:p>
    <w:p w:rsidR="00000000" w:rsidDel="00000000" w:rsidP="00000000" w:rsidRDefault="00000000" w:rsidRPr="00000000" w14:paraId="00000003">
      <w:pPr>
        <w:spacing w:after="320" w:before="0" w:lineRule="auto"/>
        <w:rPr>
          <w:color w:val="1b1b1b"/>
          <w:sz w:val="27"/>
          <w:szCs w:val="2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 return to growth in new business for the asset manager and life insurer spun out of Prudential was overshadowed by disappointing profits, as fresh takeover speculation emerged.</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The FTSE 100 group, which oversees £355 billion in assets, swung back to net inflows of £2.1 billion over the first six months of the year, from outflows of £1.1 billion a year earlier, as more international investors parked cash with its asset management arm.</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Net inflows of £2.6 billion into its investment business were boosted by a £2.2 billion mandate win in the Netherlands. Its cost-to-income ratio, a key measure of profitability, improved to 75 per cent, from 77 per cent.</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M&amp;G is made up of the UK and European arm of the Pru, which spun off these businesses as part of a strategy shift by its former parent to focus on the fast-growing markets of Asia and Africa. M&amp;G initially struggled as an independent business as its share price slid and clients pulled money from its funds.</w:t>
      </w:r>
    </w:p>
    <w:p w:rsidR="00000000" w:rsidDel="00000000" w:rsidP="00000000" w:rsidRDefault="00000000" w:rsidRPr="00000000" w14:paraId="00000009">
      <w:pPr>
        <w:spacing w:after="280" w:before="280" w:lineRule="auto"/>
        <w:rPr>
          <w:color w:val="1b1b1b"/>
          <w:sz w:val="27"/>
          <w:szCs w:val="27"/>
        </w:rPr>
      </w:pPr>
      <w:hyperlink r:id="rId6">
        <w:r w:rsidDel="00000000" w:rsidR="00000000" w:rsidRPr="00000000">
          <w:rPr>
            <w:color w:val="416ed2"/>
            <w:sz w:val="27"/>
            <w:szCs w:val="27"/>
            <w:rtl w:val="0"/>
          </w:rPr>
          <w:t xml:space="preserve">Andrea Rossi</w:t>
        </w:r>
      </w:hyperlink>
      <w:r w:rsidDel="00000000" w:rsidR="00000000" w:rsidRPr="00000000">
        <w:rPr>
          <w:color w:val="1b1b1b"/>
          <w:sz w:val="27"/>
          <w:szCs w:val="27"/>
          <w:rtl w:val="0"/>
        </w:rPr>
        <w:t xml:space="preserve">, a former Axa executive has been steering a turnaround of the company since taking charge in October 2022, including a £230 million cost-saving plan by the end of this year and drawing more business from overseas investors.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company saved £213 million of the £230 million in costs it is targeting by the end of June, while international money accounts for 58 per cent of its external assets under management, compared with 37 per cent five years ago.</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However, adjusted operating profit was broadly flat at £378 million over the first six months of the year, weaker than a consensus forecast of £398 million from City analysts, attributed to a payout relating to a legacy insurance policy and foreign exchange losses for its asset management business.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shares closed 1.1p, or 0.43 per cent, lower at 255¾p on Wednesday.</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Pre-tax profit more than doubled to £559 million, boosted by an increase in investment returns to £5.3 billion, from £4.5 billion a year earlier.</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mixed results came as it emerged that </w:t>
      </w:r>
      <w:hyperlink r:id="rId7">
        <w:r w:rsidDel="00000000" w:rsidR="00000000" w:rsidRPr="00000000">
          <w:rPr>
            <w:color w:val="416ed2"/>
            <w:sz w:val="27"/>
            <w:szCs w:val="27"/>
            <w:rtl w:val="0"/>
          </w:rPr>
          <w:t xml:space="preserve">Apollo Global Management</w:t>
        </w:r>
      </w:hyperlink>
      <w:r w:rsidDel="00000000" w:rsidR="00000000" w:rsidRPr="00000000">
        <w:rPr>
          <w:color w:val="1b1b1b"/>
          <w:sz w:val="27"/>
          <w:szCs w:val="27"/>
          <w:rtl w:val="0"/>
        </w:rPr>
        <w:t xml:space="preserve"> had previously studied the company as a potential takeover target. The American private equity firm’s interest in M&amp;G was first reported by the Financial Times.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M&amp;G was understood to be one of a number of companies examined by the firm before the </w:t>
      </w:r>
      <w:hyperlink r:id="rId8">
        <w:r w:rsidDel="00000000" w:rsidR="00000000" w:rsidRPr="00000000">
          <w:rPr>
            <w:color w:val="416ed2"/>
            <w:sz w:val="27"/>
            <w:szCs w:val="27"/>
            <w:rtl w:val="0"/>
          </w:rPr>
          <w:t xml:space="preserve">£5.7 billion takeover of the Pension Insurance Corporation</w:t>
        </w:r>
      </w:hyperlink>
      <w:r w:rsidDel="00000000" w:rsidR="00000000" w:rsidRPr="00000000">
        <w:rPr>
          <w:color w:val="1b1b1b"/>
          <w:sz w:val="27"/>
          <w:szCs w:val="27"/>
          <w:rtl w:val="0"/>
        </w:rPr>
        <w:t xml:space="preserve"> in July by Athora, which is part of Apollo. There is thought to be no active engagement between the two sides.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In March Rossi set out a target to achieve average annual growth in adjusted pre-tax operating profits of at least 5 per cent through to 2027 and generate £2.7 billion of operating capital.</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company was also boosted in May by a strategic partnership with Dai-ichi Life Holdings, in which </w:t>
      </w:r>
      <w:hyperlink r:id="rId9">
        <w:r w:rsidDel="00000000" w:rsidR="00000000" w:rsidRPr="00000000">
          <w:rPr>
            <w:color w:val="416ed2"/>
            <w:sz w:val="27"/>
            <w:szCs w:val="27"/>
            <w:rtl w:val="0"/>
          </w:rPr>
          <w:t xml:space="preserve">the Japanese insurer took a 15 per cent holding</w:t>
        </w:r>
      </w:hyperlink>
      <w:r w:rsidDel="00000000" w:rsidR="00000000" w:rsidRPr="00000000">
        <w:rPr>
          <w:color w:val="1b1b1b"/>
          <w:sz w:val="27"/>
          <w:szCs w:val="27"/>
          <w:rtl w:val="0"/>
        </w:rPr>
        <w:t xml:space="preserve"> in the London-listed group.</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interim dividend was raised to 6.7p a share, up from 6.6p a year earlier, in line with M&amp;G’s new progressive payout policy.</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times.com/business/companies-markets/article/m-and-g-sells-15-percent-stake-to-japans-dai-ichi-life-in-partnership-deal-rzbvvsqs9" TargetMode="External"/><Relationship Id="rId5" Type="http://schemas.openxmlformats.org/officeDocument/2006/relationships/styles" Target="styles.xml"/><Relationship Id="rId6" Type="http://schemas.openxmlformats.org/officeDocument/2006/relationships/hyperlink" Target="https://www.thetimes.com/business/economics/article/britain-must-grasp-chance-to-be-a-true-leader-in-private-markets-fqkvk9875" TargetMode="External"/><Relationship Id="rId7" Type="http://schemas.openxmlformats.org/officeDocument/2006/relationships/hyperlink" Target="https://www.thetimes.com/business/companies-markets/article/wagamama-owner-apollo-among-potential-biders-for-costa-coffee-2zr6dlt95" TargetMode="External"/><Relationship Id="rId8" Type="http://schemas.openxmlformats.org/officeDocument/2006/relationships/hyperlink" Target="https://www.thetimes.com/business/companies-markets/article/athora-snaps-up-pension-insurance-corporation-in-57bn-deal-nx6q92p8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