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c6a1isje1k89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Unnamed scheme secures £96m buy-in with M&amp;G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clobns6vraft" w:id="1"/>
      <w:bookmarkEnd w:id="1"/>
      <w:r w:rsidDel="00000000" w:rsidR="00000000" w:rsidRPr="00000000">
        <w:rPr>
          <w:sz w:val="50"/>
          <w:szCs w:val="50"/>
          <w:rtl w:val="0"/>
        </w:rPr>
        <w:t xml:space="preserve">Transaction secures the benefits of over 1,000 scheme members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transaction – which secures the benefits of over 1,000 members – was completed by M&amp;G's wholly-owned subsidiary, the Prudential Assurance Company.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deal marks M&amp;G's seventh bulk purchase annuity transaction in two years, taking total new business written to over £1.7bn.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managing director of corporate pensions solutions Kerrigan Procter said: "We are proud to have supported the trustee and company through the final stage of their de-risking journey. By insuring residual risks and committing to a full buyout by the end of this year, we've delivered certainty and long-term security to both the company and the pension scheme members.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"Looking ahead, we will continue to harness the strength of our integrated business model and deep expertise in private markets to design innovative de-risking solutions that respond to the evolving needs of our clients and the broader pensions landscape."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 re-entered the bulk purchase annuity (BPA) market in 2023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has completed several transactions since, including a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£309m buy-in with the NSK scheme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a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£111m BPA deal with a scheme sponsored by an unnamed UK asset manager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ofessionalpensions.com/news/4126815/enters-market-deals-totalling-gbp617m" TargetMode="External"/><Relationship Id="rId7" Type="http://schemas.openxmlformats.org/officeDocument/2006/relationships/hyperlink" Target="https://www.professionalpensions.com/news/4330678/nsk-scheme-agrees-gbp309m" TargetMode="External"/><Relationship Id="rId8" Type="http://schemas.openxmlformats.org/officeDocument/2006/relationships/hyperlink" Target="https://www.professionalpensions.com/news/4409996/scheme-uk-asset-manager-secures-gbp111m-bpa-de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