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gaetu44cwxm" w:id="0"/>
      <w:bookmarkEnd w:id="0"/>
      <w:r w:rsidDel="00000000" w:rsidR="00000000" w:rsidRPr="00000000">
        <w:rPr>
          <w:b w:val="1"/>
          <w:bCs w:val="1"/>
          <w:color w:val="1b1b1b"/>
          <w:sz w:val="90"/>
          <w:szCs w:val="90"/>
          <w:rtl w:val="0"/>
        </w:rPr>
        <w:t xml:space="preserve">M&amp;G joins rebels against HICL-Trig merger</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or5jz0lht765" w:id="1"/>
      <w:bookmarkEnd w:id="1"/>
      <w:r w:rsidDel="00000000" w:rsidR="00000000" w:rsidRPr="00000000">
        <w:rPr>
          <w:sz w:val="50"/>
          <w:szCs w:val="50"/>
          <w:rtl w:val="0"/>
        </w:rPr>
        <w:t xml:space="preserve">The City fund manager is the biggest name yet to come out against the deal, seeing ‘no strategic nor financial rationale for the combination’</w:t>
      </w:r>
    </w:p>
    <w:p w:rsidR="00000000" w:rsidDel="00000000" w:rsidP="00000000" w:rsidRDefault="00000000" w:rsidRPr="00000000" w14:paraId="00000003">
      <w:pPr>
        <w:spacing w:after="320" w:before="0" w:lineRule="auto"/>
        <w:rPr>
          <w:color w:val="1b1b1b"/>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One of the City’s most influential fund managers has joined other rebel shareholders in </w:t>
      </w:r>
      <w:hyperlink r:id="rId6">
        <w:r w:rsidDel="00000000" w:rsidR="00000000" w:rsidRPr="00000000">
          <w:rPr>
            <w:color w:val="416ed2"/>
            <w:sz w:val="27"/>
            <w:szCs w:val="27"/>
            <w:rtl w:val="0"/>
          </w:rPr>
          <w:t xml:space="preserve">HICL Infrastructure</w:t>
        </w:r>
      </w:hyperlink>
      <w:r w:rsidDel="00000000" w:rsidR="00000000" w:rsidRPr="00000000">
        <w:rPr>
          <w:color w:val="1b1b1b"/>
          <w:sz w:val="27"/>
          <w:szCs w:val="27"/>
          <w:rtl w:val="0"/>
        </w:rPr>
        <w:t xml:space="preserve">, the investment trust, calling on it to abandon a planned £5.3 billion merger with The Renewables Infrastructure Group, also known as Trig.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M&amp;G, which has a 3.4 per cent stake in HICL, is the best known shareholder to come out against the deal, joining the wealth managers TrinityBridge and W1M and the Capital Gearing Trust, boosting the ranks of those publicly calling for a rethink to 12.7 per cent.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Managers at M&amp;G have written to the HICL board to argue they could see “no strategic nor financial rationale for the combination” and damning it as “a transfer of value from HICL to Trig shareholders”.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 spokeswoman for M&amp;G said: “They have therefore stated that if the management doesn’t abandon the plan then they will vote against it.”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proposed merger, which would create a FTSE 100 company, has now been </w:t>
      </w:r>
      <w:hyperlink r:id="rId7">
        <w:r w:rsidDel="00000000" w:rsidR="00000000" w:rsidRPr="00000000">
          <w:rPr>
            <w:color w:val="416ed2"/>
            <w:sz w:val="27"/>
            <w:szCs w:val="27"/>
            <w:rtl w:val="0"/>
          </w:rPr>
          <w:t xml:space="preserve">attacked by at least 12 institutional investors</w:t>
        </w:r>
      </w:hyperlink>
      <w:r w:rsidDel="00000000" w:rsidR="00000000" w:rsidRPr="00000000">
        <w:rPr>
          <w:color w:val="1b1b1b"/>
          <w:sz w:val="27"/>
          <w:szCs w:val="27"/>
          <w:rtl w:val="0"/>
        </w:rPr>
        <w:t xml:space="preserve"> as being structured in a way that favours Trig over HICL with the main beneficiary being the asset management group that manages both trusts, the Sun Life-owned InfraRed.</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Some retail investors in HICL are also </w:t>
      </w:r>
      <w:hyperlink r:id="rId8">
        <w:r w:rsidDel="00000000" w:rsidR="00000000" w:rsidRPr="00000000">
          <w:rPr>
            <w:color w:val="416ed2"/>
            <w:sz w:val="27"/>
            <w:szCs w:val="27"/>
            <w:rtl w:val="0"/>
          </w:rPr>
          <w:t xml:space="preserve">strongly opposed</w:t>
        </w:r>
      </w:hyperlink>
      <w:r w:rsidDel="00000000" w:rsidR="00000000" w:rsidRPr="00000000">
        <w:rPr>
          <w:color w:val="1b1b1b"/>
          <w:sz w:val="27"/>
          <w:szCs w:val="27"/>
          <w:rtl w:val="0"/>
        </w:rPr>
        <w:t xml:space="preserve">, arguing that Trig, with its emphasis on wind turbines and solar farms, is a completely different and much more risky bet than HICL.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HICL board has been strongly in favour of the proposal, saying it will deliver the benefits of scale, liquidity, greater visibility with potential overseas investors and a more growth-focused approach. They have irrevocably pledged their shares in support of the deal.</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They also say they received “positive soundings” from some of </w:t>
      </w:r>
      <w:hyperlink r:id="rId9">
        <w:r w:rsidDel="00000000" w:rsidR="00000000" w:rsidRPr="00000000">
          <w:rPr>
            <w:color w:val="416ed2"/>
            <w:sz w:val="27"/>
            <w:szCs w:val="27"/>
            <w:rtl w:val="0"/>
          </w:rPr>
          <w:t xml:space="preserve">HICL’s largest shareholders</w:t>
        </w:r>
      </w:hyperlink>
      <w:r w:rsidDel="00000000" w:rsidR="00000000" w:rsidRPr="00000000">
        <w:rPr>
          <w:color w:val="1b1b1b"/>
          <w:sz w:val="27"/>
          <w:szCs w:val="27"/>
          <w:rtl w:val="0"/>
        </w:rPr>
        <w:t xml:space="preserve"> when they briefed them on the proposal before announcing it last week.</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business editor’s exclusive analysis of all the latest financial and economic news.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Some of the biggest shareholders, including Brewin Dolphin with an 8.1 per cent holding and Rathbones with 7.4 per cent, have declined to say how they plan to vote their shares. Many own shares in Trig as well, so are less concerned about the relative terms of the merger. Rathbones, for example, also owns 11.4 per cent of Trig.</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Individual fund managers at M&amp;G make their own voting decisions on corporate events. Of 76.5 million HICL shares held by M&amp;G, 65.4 million would be voted against, meaning the great majority are opposed.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M&amp;G is one of the biggest asset managers in the City, with funds under management of £365 billion managed for both retail and institutional investors. Its funds include the Prudential-badged products in the UK.</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Some large local authority pension funds are also understood to be opposed to the deal, although only Border to Coast, a £70 billion investment powerhouse, has so far gone public to criticise the proposal.</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No institutional HICL shareholder has yet come out publicly to support the deal. HICL was approached for comment.</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HICL specialises in infrastructure projects for the health service and in education and transport. Its shares have traded at a much narrower discount to net assets than Trig’s, a reflection of greater investor confidence in its underlying assets. It was established in 2006 and, like Trig, is a member of the FTSE 250.</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two trusts plan to put the deal to shareholder votes next month. HICL only needs a 50 per cent majority while Trig needs 75 per cent.</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times.com/business/markets/article/is-this-a-good-time-to-buy-shares-in-hicl-8cnvd7pcp" TargetMode="External"/><Relationship Id="rId5" Type="http://schemas.openxmlformats.org/officeDocument/2006/relationships/styles" Target="styles.xml"/><Relationship Id="rId6" Type="http://schemas.openxmlformats.org/officeDocument/2006/relationships/hyperlink" Target="https://www.thetimes.com/business/economics/article/investment-trust-merger-yields-a-hurricane-of-hot-air-qdflwnmvc" TargetMode="External"/><Relationship Id="rId7" Type="http://schemas.openxmlformats.org/officeDocument/2006/relationships/hyperlink" Target="https://www.thetimes.com/business/economics/article/revolt-hicl-infrastructure-merger-trig-vp20nnqq5" TargetMode="External"/><Relationship Id="rId8" Type="http://schemas.openxmlformats.org/officeDocument/2006/relationships/hyperlink" Target="https://www.thetimes.com/business/companies-markets/article/hicl-infrastructure-trig-5-billion-merger-l2mhnn5g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