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v3lamihztd2e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M&amp;G sees £1.5bn inflow surge amid rising adviser confidence</w:t>
      </w:r>
    </w:p>
    <w:p w:rsidR="00000000" w:rsidDel="00000000" w:rsidP="00000000" w:rsidRDefault="00000000" w:rsidRPr="00000000" w14:paraId="00000002">
      <w:pPr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​</w:t>
      </w:r>
    </w:p>
    <w:p w:rsidR="00000000" w:rsidDel="00000000" w:rsidP="00000000" w:rsidRDefault="00000000" w:rsidRPr="00000000" w14:paraId="00000003">
      <w:pPr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M&amp;G has reported a strong third quarter, driven by £1.5bn of external net inflows into its asset management business.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The rise signals renewed demand from advisers and institutional investors.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In a Q3 2025 trading update published this morning (5 November), the group said total net inflows from open business reached £1.8bn across Asset Management and Life, helping push assets under management and administration (AUMA) to £365bn, up 3% in the quarter.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External flows into Asset Management were strong across both wholesale and institutional franchises, attracting £0.7bn and £0.8bn respectively during the period.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M&amp;G said client demand was broad based, particularly in European public equities and private and structured credit.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Momentum is expected to continue as new business starts flowing from its partnership with Japanese insurer Dai-ichi Life.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Group chief executive Andrea Rossi said continued inflows show the strength of M&amp;G’s business model and investment capabilities despite market volatility, adding that the firm remains focused on long-term growth.</w:t>
      </w:r>
    </w:p>
    <w:p w:rsidR="00000000" w:rsidDel="00000000" w:rsidP="00000000" w:rsidRDefault="00000000" w:rsidRPr="00000000" w14:paraId="0000000A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In the Life business, PruFund returned to net inflows, recording £0.2bn in the quarter compared with £0.6bn of outflows in the first half of the year.</w:t>
      </w:r>
    </w:p>
    <w:p w:rsidR="00000000" w:rsidDel="00000000" w:rsidP="00000000" w:rsidRDefault="00000000" w:rsidRPr="00000000" w14:paraId="0000000B">
      <w:pPr>
        <w:spacing w:after="280" w:before="280" w:lineRule="auto"/>
        <w:rPr>
          <w:color w:val="1b1b1b"/>
          <w:sz w:val="27"/>
          <w:szCs w:val="27"/>
        </w:rPr>
      </w:pPr>
      <w:hyperlink r:id="rId6">
        <w:r w:rsidDel="00000000" w:rsidR="00000000" w:rsidRPr="00000000">
          <w:rPr>
            <w:color w:val="416ed2"/>
            <w:sz w:val="27"/>
            <w:szCs w:val="27"/>
            <w:rtl w:val="0"/>
          </w:rPr>
          <w:t xml:space="preserve">M&amp;G</w:t>
        </w:r>
      </w:hyperlink>
      <w:r w:rsidDel="00000000" w:rsidR="00000000" w:rsidRPr="00000000">
        <w:rPr>
          <w:color w:val="1b1b1b"/>
          <w:sz w:val="27"/>
          <w:szCs w:val="27"/>
          <w:rtl w:val="0"/>
        </w:rPr>
        <w:t xml:space="preserve"> said adviser and client engagement is improving, with the £68bn PruFund franchise benefitting from broader distribution and product enhancements.</w:t>
      </w:r>
    </w:p>
    <w:p w:rsidR="00000000" w:rsidDel="00000000" w:rsidP="00000000" w:rsidRDefault="00000000" w:rsidRPr="00000000" w14:paraId="0000000C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Bulk purchase annuity activity also increased, with £0.3bn of new business volumes in the quarter. M&amp;G remains on track to launch its With-Profits BPA proposition in the first quarter of 2026.</w:t>
      </w:r>
    </w:p>
    <w:p w:rsidR="00000000" w:rsidDel="00000000" w:rsidP="00000000" w:rsidRDefault="00000000" w:rsidRPr="00000000" w14:paraId="0000000D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External AUMA in Asset Management now stands at £176bn, up 6% year to date. M&amp;G said this reflects stronger sales activity, diversified inflows and greater traction with international clients.</w:t>
      </w:r>
    </w:p>
    <w:p w:rsidR="00000000" w:rsidDel="00000000" w:rsidP="00000000" w:rsidRDefault="00000000" w:rsidRPr="00000000" w14:paraId="0000000E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Rossi said: “We are seeing growing momentum across M&amp;G as we execute our strategy and deliver long-term value for clients and shareholders.”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moneymarketing.co.uk/tag/m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