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9sssotv4lu2r" w:id="0"/>
      <w:bookmarkEnd w:id="0"/>
      <w:r w:rsidDel="00000000" w:rsidR="00000000" w:rsidRPr="00000000">
        <w:rPr>
          <w:b w:val="1"/>
          <w:bCs w:val="1"/>
          <w:color w:val="1b1b1b"/>
          <w:sz w:val="90"/>
          <w:szCs w:val="90"/>
          <w:rtl w:val="0"/>
        </w:rPr>
        <w:t xml:space="preserve">M&amp;G launches social investment fund in £1bn infrastructure push</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y08gd9mjt5ny" w:id="1"/>
      <w:bookmarkEnd w:id="1"/>
      <w:r w:rsidDel="00000000" w:rsidR="00000000" w:rsidRPr="00000000">
        <w:rPr>
          <w:sz w:val="50"/>
          <w:szCs w:val="50"/>
          <w:rtl w:val="0"/>
        </w:rPr>
        <w:t xml:space="preserve">The asset manager seeding new fund with capital from its With Profits fund alongside other pension funds, as well as opening up its Catalyst fund to external investors.</w:t>
      </w:r>
    </w:p>
    <w:p w:rsidR="00000000" w:rsidDel="00000000" w:rsidP="00000000" w:rsidRDefault="00000000" w:rsidRPr="00000000" w14:paraId="00000006">
      <w:pPr>
        <w:spacing w:after="280" w:before="280" w:lineRule="auto"/>
        <w:rPr>
          <w:color w:val="1b1b1b"/>
          <w:sz w:val="27"/>
          <w:szCs w:val="27"/>
        </w:rPr>
      </w:pPr>
      <w:hyperlink r:id="rId6">
        <w:r w:rsidDel="00000000" w:rsidR="00000000" w:rsidRPr="00000000">
          <w:rPr>
            <w:color w:val="416ed2"/>
            <w:sz w:val="27"/>
            <w:szCs w:val="27"/>
            <w:rtl w:val="0"/>
          </w:rPr>
          <w:t xml:space="preserve">M&amp;G</w:t>
        </w:r>
      </w:hyperlink>
      <w:r w:rsidDel="00000000" w:rsidR="00000000" w:rsidRPr="00000000">
        <w:rPr>
          <w:color w:val="1b1b1b"/>
          <w:sz w:val="27"/>
          <w:szCs w:val="27"/>
          <w:rtl w:val="0"/>
        </w:rPr>
        <w:t xml:space="preserve"> has launched a new private assets fund for investors looking to back social projects as part of a pledge to put an extra £1bn into UK-based projects over the next three to five years.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M&amp;G UK Social Investment fund will back affordable homes, regeneration projects and infrastructure. It will be managed by </w:t>
      </w:r>
      <w:hyperlink r:id="rId7">
        <w:r w:rsidDel="00000000" w:rsidR="00000000" w:rsidRPr="00000000">
          <w:rPr>
            <w:color w:val="416ed2"/>
            <w:sz w:val="27"/>
            <w:szCs w:val="27"/>
            <w:rtl w:val="0"/>
          </w:rPr>
          <w:t xml:space="preserve">M&amp;G’s £78.5bn private markets unit</w:t>
        </w:r>
      </w:hyperlink>
      <w:r w:rsidDel="00000000" w:rsidR="00000000" w:rsidRPr="00000000">
        <w:rPr>
          <w:color w:val="1b1b1b"/>
          <w:sz w:val="27"/>
          <w:szCs w:val="27"/>
          <w:rtl w:val="0"/>
        </w:rPr>
        <w:t xml:space="preserve">.  </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fund has been seeded with a £130m commitment from the Scottish Borders Council Pension fund and money from M&amp;G’s £130bn With Profits fund, which underpins the popular PruFund range.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In a release announcing the launch, M&amp;G said it hoped to attract further investment from major investors such as the Local Government Pension Scheme (LGPS).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Early pipeline opportunities include partnering with local authorities and registered providers to deliver purpose-built accommodation for young care leavers and additional affordable housing.</w:t>
      </w:r>
    </w:p>
    <w:p w:rsidR="00000000" w:rsidDel="00000000" w:rsidP="00000000" w:rsidRDefault="00000000" w:rsidRPr="00000000" w14:paraId="0000000B">
      <w:pPr>
        <w:pStyle w:val="Heading2"/>
        <w:keepNext w:val="0"/>
        <w:keepLines w:val="0"/>
        <w:spacing w:after="80" w:lineRule="auto"/>
        <w:rPr>
          <w:b w:val="1"/>
          <w:bCs w:val="1"/>
          <w:color w:val="1b1b1b"/>
          <w:sz w:val="49"/>
          <w:szCs w:val="49"/>
        </w:rPr>
      </w:pPr>
      <w:bookmarkStart w:colFirst="0" w:colLast="0" w:name="_7693wv9oe8q2" w:id="2"/>
      <w:bookmarkEnd w:id="2"/>
      <w:r w:rsidDel="00000000" w:rsidR="00000000" w:rsidRPr="00000000">
        <w:rPr>
          <w:b w:val="1"/>
          <w:bCs w:val="1"/>
          <w:color w:val="1b1b1b"/>
          <w:sz w:val="49"/>
          <w:szCs w:val="49"/>
          <w:rtl w:val="0"/>
        </w:rPr>
        <w:t xml:space="preserve">Catalyst opens to external investors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Alongside the fund launch, M&amp;G also announced that Catalyst, a growth equity vehicle that was launched in 2021 with a £5bn allocation from the With Profits fund, has received another $850m (£634m) in commitments. The investments include $100m from the </w:t>
      </w:r>
      <w:hyperlink r:id="rId8">
        <w:r w:rsidDel="00000000" w:rsidR="00000000" w:rsidRPr="00000000">
          <w:rPr>
            <w:color w:val="416ed2"/>
            <w:sz w:val="27"/>
            <w:szCs w:val="27"/>
            <w:rtl w:val="0"/>
          </w:rPr>
          <w:t xml:space="preserve">British Business Bank</w:t>
        </w:r>
      </w:hyperlink>
      <w:r w:rsidDel="00000000" w:rsidR="00000000" w:rsidRPr="00000000">
        <w:rPr>
          <w:color w:val="1b1b1b"/>
          <w:sz w:val="27"/>
          <w:szCs w:val="27"/>
          <w:rtl w:val="0"/>
        </w:rPr>
        <w:t xml:space="preserve">, alongside other institutional investors, as well as fresh money from M&amp;G’s With Profits fund.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It is the first time M&amp;G has opened the Catalyst strategy to external investors. The fund is set to hold its first fundraising close in the near future.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Catalyst aims to invest in innovative private companies that can deliver both financial returns and measurable social and environmental impact. It has around a 20% allocation to the UK.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M&amp;G’s investment has been unsurprisingly been met with open arms by the government. Chancellor Rachel Reeves, said: ‘This investment is exactly what our pensions and investment reforms are designed to unlock. Billions of pounds to build the homes, infrastructure and invest in innovative businesses that will power Britain’s next decade of growth.’</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M&amp;G was one of the signatories to the Mansion House Accord last year via its With Profits vehicle. This saw 17 workplace pension providers commit to investing 10% in private markets by 2030, half of which would be dedicated to the UK.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With Profits fund </w:t>
      </w:r>
      <w:hyperlink r:id="rId9">
        <w:r w:rsidDel="00000000" w:rsidR="00000000" w:rsidRPr="00000000">
          <w:rPr>
            <w:color w:val="416ed2"/>
            <w:sz w:val="27"/>
            <w:szCs w:val="27"/>
            <w:rtl w:val="0"/>
          </w:rPr>
          <w:t xml:space="preserve">is already well within the Mansion House pledge</w:t>
        </w:r>
      </w:hyperlink>
      <w:r w:rsidDel="00000000" w:rsidR="00000000" w:rsidRPr="00000000">
        <w:rPr>
          <w:color w:val="1b1b1b"/>
          <w:sz w:val="27"/>
          <w:szCs w:val="27"/>
          <w:rtl w:val="0"/>
        </w:rPr>
        <w:t xml:space="preserve">. In May, the vehicle had a 28% allocation to private markets, and a 11.2% exposure to UK private assets.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M&amp;G CEO Andrea Rossi, added: ‘By unlocking capital from British savers and international partners, M&amp;G is poised to build critical infrastructure, support the growth of British businesses, while laying the foundations for a more productive, sustainable economy and stronger communities across the country.’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tywire.com/new-model-adviser/news/how-pensions-stack-up-in-the-race-to-meet-uk-private-assets-targets/a2465799?utm_medium=website&amp;utm_source=citywire_nma&amp;utm_campaign=article-in-body" TargetMode="External"/><Relationship Id="rId5" Type="http://schemas.openxmlformats.org/officeDocument/2006/relationships/styles" Target="styles.xml"/><Relationship Id="rId6" Type="http://schemas.openxmlformats.org/officeDocument/2006/relationships/hyperlink" Target="https://citywire.com/new-model-adviser/news/company/m-and-g/j74357?utm_medium=website&amp;utm_source=citywire_nma&amp;utm_campaign=article-in-body" TargetMode="External"/><Relationship Id="rId7" Type="http://schemas.openxmlformats.org/officeDocument/2006/relationships/hyperlink" Target="https://citywire.com/new-model-adviser/news/how-m-and-g-s-with-profits-fund-can-stomach-30bn-in-private-markets/a2442897?utm_medium=website&amp;utm_source=citywire_nma&amp;utm_campaign=article-in-body" TargetMode="External"/><Relationship Id="rId8" Type="http://schemas.openxmlformats.org/officeDocument/2006/relationships/hyperlink" Target="https://citywire.com/new-model-adviser/news/british-business-bank-will-make-bigger-vc-investments-to-put-pensions-at-ease/a2480086?utm_medium=website&amp;utm_source=citywire_nma&amp;utm_campaign=article-in-bo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