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6q732jkq9nce" w:id="0"/>
      <w:bookmarkEnd w:id="0"/>
      <w:r w:rsidDel="00000000" w:rsidR="00000000" w:rsidRPr="00000000">
        <w:rPr>
          <w:b w:val="1"/>
          <w:bCs w:val="1"/>
          <w:color w:val="1b1b1b"/>
          <w:sz w:val="90"/>
          <w:szCs w:val="90"/>
          <w:rtl w:val="0"/>
        </w:rPr>
        <w:t xml:space="preserve">M&amp;G unveils £1bn plan to boost UK growth</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M&amp;G has announced plans to invest more than £1bn into the UK economy over the next three to five years, targeting affordable housing, regeneration projects, infrastructure and innovative companies.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international savings and investment group said the capital would be channelled through two new funds, drawing investment from its Life business, the British Business Bank and the Local Government Pension Scheme (LGPS), including the Scottish Borders Council Pension Fund.</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M&amp;G already has more than £100bn invested in the UK economy and said it aims to attract further capital from LGPS funds and international investors into its forthcoming UK Social Investment Fund, alongside long-term investors such as defined contribution pension schemes, endowments and charitable foundations.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fund is expected to launch with £130m of initial commitments from the Scottish Borders Council Pension Fund and M&amp;G’s multi-billion pound With Profits Fund. It will be managed by M&amp;G’s £78.5bn private markets business.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UK Social Investment Fund will focus on projects designed to deliver positive social outcomes, including urban regeneration, affordable housing, clean energy and essential infrastructure.</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M&amp;G said the strategy aligns with the government’s aim of </w:t>
      </w:r>
      <w:hyperlink r:id="rId6">
        <w:r w:rsidDel="00000000" w:rsidR="00000000" w:rsidRPr="00000000">
          <w:rPr>
            <w:color w:val="416ed2"/>
            <w:sz w:val="27"/>
            <w:szCs w:val="27"/>
            <w:rtl w:val="0"/>
          </w:rPr>
          <w:t xml:space="preserve">encouraging pension assets to support UK economic growth</w:t>
        </w:r>
      </w:hyperlink>
      <w:r w:rsidDel="00000000" w:rsidR="00000000" w:rsidRPr="00000000">
        <w:rPr>
          <w:color w:val="1b1b1b"/>
          <w:sz w:val="27"/>
          <w:szCs w:val="27"/>
          <w:rtl w:val="0"/>
        </w:rPr>
        <w:t xml:space="preserve">, while allowing savers to see the real-world impact of their pension investments.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Early pipeline opportunities include working with local authorities and registered providers to deliver purpose-built accommodation for young care leavers, as well as additional affordable housing.</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Alongside the social investment strategy, M&amp;G also announced that its M&amp;G Catalyst Growth Equity Fund has secured commitments of more than $850m.</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This includes capital from M&amp;G’s With Profits Fund and a $100m commitment from the British Business Bank, alongside other institutional investors.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 Catalyst fund invests in innovative private companies in the UK and internationally, with a focus on businesses that can deliver both financial returns and measurable social and environmental impact.</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M&amp;G said many of the target companies are university spinouts with the potential to become market leaders in areas such as technology, healthcare and sustainability.</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Chancellor Rachel Reeves said the announcement showed what the government’s pension and investment reforms were intended to achieve.</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“Billions of pounds to build the homes, infrastructure and invest in innovative businesses that will power Britain’s next decade of growth,” she said.</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Andrea Rossi, chief executive of M&amp;G, said the group was seeking to unlock capital from both British savers and international partners.</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“M&amp;G is poised to build critical infrastructure, support the growth of British businesses, while laying the foundations for a more productive, sustainable economy and stronger communities across the country,” he said.</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neymarketing.co.uk/opinion/kristy-barr-pensions-private-markets-and-powering-uk-grow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