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izhnf6l0o86p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says it will take £230million hit from Government ground rent reforms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Government’s plans to cap ground rents are ‘disproportionate’ and risk ruining the UK’s reputation, a major investor has warned.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Under new proposals, annual ground rents charged to leaseholders by their freeholder will be capped at £250 from 2028.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Labour's manifesto promised to tackle 'unregulated and unaffordable ground rent charges'.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However, the institutional investment industry has hit back at the change and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wider leasehold reform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as it will reduce firms' income and the value of their assets.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As many pension funds invest in freehold property, it could also affect savers' retirement pots.  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Investment manager M&amp;G said that the plans would ‘negatively impact savers and companies that have chosen to invest in UK assets’.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is directly exposed to £722million of ground rent assets.  If the changes are approved, it said this would lead to a one-off £230million reduction in the Group Solvency II Own Funds and reduce its solvency II ratio by one percentage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Ground rents have historically been considered a stable investment providing long-term income to individual savers, pension funds and insurance companies.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said it supported plans to strengthen leaseholder protection and tackle ‘egregious’ ground rents, but that ‘the proposed solution is disproportionate, and we will continue to consider our response.’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also warned that in addition to affecting savers, ‘they would also set a worrying precedent, leading to consequences for the UK’s reputation as a stable investment location.’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Dan Coatsworth, head of markets at AJ Bell said: ’Reform of the ground rent system has been on the cards for some time, and valuations for related investments have been hit.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'Pension funds and life insurance companies may well have already started reassessing such holdings, and today’s news will exacerbate that thought process.’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will also have to write down the value of some assets and expects a £15million hit to annual profits.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Chief executive Andrea Rossi said: ‘We are disappointed that we have not been able to agree a proportionate solution that works for all parties.’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Leaseholders have welcomed the ground rent cap, but others have also warned of the negative impact on savers.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Residential Freehold Association said the ground rent cap ‘would seriously damage investor confidence in the UK housing market and send a dangerous and unprecedented signal to the wider institutional investment sector.’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trade body representing professional freeholders said: 'Instead of focusing on those reforms which address the issues that leaseholders care most about, the Government's draft Bill will tear up long-established contracts and property rights, which are pillars of the UK's investment reputation.’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