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nrakxjpv37bm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warns of capital hit from ground rent cap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Government’s proposed cap on ground rents has triggered warnings over growing political risk in UK investment assets, after M&amp;G revealed the reforms would deliver a £230m hit to its Group Solvency II own funds and dent long-term capital generation.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Under proposals announced today (27 January), existing annual ground rents in England and Wales would be capped at £250 from 2028, before being reduced to zero after a 40-year transition period.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it has direct exposure of £722m to ground rent assets through the shareholder fund of Prudential Assurance Company, with the reforms expected to reduce its shareholder Solvency II coverage ratio by around one percentage point.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implemented in their current form, the changes would trigger a £230m one-off reduction in Solvency II own funds, with the impact on the Group’s solvency surplus limited to £140m, after allowing for the release of capital already held against regulatory risk.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From 2028, M&amp;G expects the reforms to cut annual adjusted operating profit and underlying capital generation by around £15m, due to lower surplus assets in its annuity book, before any mitigating actions.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Despite the impact, the insurer said it remains well positioned to absorb the changes and reconfirmed its adjusted operating profit growth and capital generation targets, alongside its progressive dividend policy.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Group chief executive Andrea Rossi said while M&amp;G supports the Government’s objective of strengthening leaseholder protections, the proposed approach risks damaging the UK’s reputation as a stable investment destination.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fully support the Government’s objective to strengthen leaseholder protection and tackle remaining egregious ground rents. However, we are disappointed that we have not been able to agree a proportionate solution that works for all parties,” Rossi said.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“These changes, if implemented, would negatively impact savers and companies that have chosen to invest in UK assets and set a worrying precedent for the UK’s reputation as a stable investment location.”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added that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M&amp;G’s strong financial position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disciplined capital management meant it remained well placed to manage the impact.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announcement highlights growing concerns across the investment industry that regulatory and political intervention is becoming a material risk factor for long-term asset allocation — particularly for insurers, pension schemes and annuity providers reliant on predictable cashflows.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Ground rents have historically been viewed as low-risk, long-duration income assets, widely held by pension funds, insurers, charities and institutional investors, due to their stable and contractual nature.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warned the proposed reforms risk undermining investor confidence by retrospectively altering long-established contracts and property rights, a move critics argue could discourage long-term capital investment in UK real assets.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Residential Freehold Association (RFA) said the proposals represent a “wholly unjustified interference with existing property rights”, warning of damaging consequences for institutional capital flows.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spokesperson said: “If enacted, this would seriously damage investor confidence in the UK housing market and send a dangerous and unprecedented signal to the wider institutional investment sector.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“Property rights and contract law are fundamental drivers of domestic and global investor confidence in the UK. Tearing up long-established contracts risks undermining the UK’s investment reputation.”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RFA added that the reforms could hinder the delivery of building safety remediation projects, as professional freeholders are forced to exit the sector.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leasehold reform specialists Homehold said while the £250 cap represents progress for leaseholders, the slow pace of reform continues to frustrate homeowners.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Managing director Linz Darlington said: “A cap at £250 is a sensible choice. It recognises that freeholders will continue to receive an income stream in the short term, while ensuring leaseholders are protected from excessive charges.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“But the speed of leasehold reform remains glacial. Much of the Leasehold and Freehold Reform Act 2024 is still not implemented, 18 months after Royal Assent.”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Darlington warned that without rapid legislative progress, leaseholders would see little immediate benefit, despite the scale of the political commitments.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news/mg-unveils-1bn-plan-to-boost-uk-grow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