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4ddtxwa90wz3" w:id="0"/>
      <w:bookmarkEnd w:id="0"/>
      <w:r w:rsidDel="00000000" w:rsidR="00000000" w:rsidRPr="00000000">
        <w:rPr>
          <w:b w:val="1"/>
          <w:bCs w:val="1"/>
          <w:color w:val="1b1b1b"/>
          <w:sz w:val="90"/>
          <w:szCs w:val="90"/>
          <w:rtl w:val="0"/>
        </w:rPr>
        <w:t xml:space="preserve">Is it game over for Britain’s challenger banks?</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pk24u6gir1w7" w:id="1"/>
      <w:bookmarkEnd w:id="1"/>
      <w:r w:rsidDel="00000000" w:rsidR="00000000" w:rsidRPr="00000000">
        <w:rPr>
          <w:sz w:val="50"/>
          <w:szCs w:val="50"/>
          <w:rtl w:val="0"/>
        </w:rPr>
        <w:t xml:space="preserve">After more than 25 years of effort, it may be back to square one for the banks with ambition, but rumours of a takeover of TSB point to a different outcome</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Ever since Gordon Brown unleashed Sir Donald Cruickshank to review the competitiveness of the banking sector in 1998, the dominance of the “big four” banks has been on the minds of Britain’s politicians.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Brown’s successor, Alistair Darling, even used the aftermath from the 2008 bailouts to proclaim the creation of new high street banks, which would take on the dominant players — Lloyds, NatWest, HSBC and Barclays — and boost competition for consumers.</w:t>
      </w:r>
    </w:p>
    <w:p w:rsidR="00000000" w:rsidDel="00000000" w:rsidP="00000000" w:rsidRDefault="00000000" w:rsidRPr="00000000" w14:paraId="00000005">
      <w:pPr>
        <w:spacing w:after="280" w:before="280" w:lineRule="auto"/>
        <w:rPr>
          <w:sz w:val="17"/>
          <w:szCs w:val="17"/>
        </w:rPr>
      </w:pPr>
      <w:r w:rsidDel="00000000" w:rsidR="00000000" w:rsidRPr="00000000">
        <w:rPr>
          <w:color w:val="1b1b1b"/>
          <w:sz w:val="27"/>
          <w:szCs w:val="27"/>
          <w:rtl w:val="0"/>
        </w:rPr>
        <w:t xml:space="preserve">This sparked the rise of the “challengers” — a mixed cohort of high-street banks, which at various times have tried to unseat the giants. Back in the 2000s, one of them, Halifax, famously insisted it would “eat the big four’s lunch”.</w:t>
      </w:r>
      <w:r w:rsidDel="00000000" w:rsidR="00000000" w:rsidRPr="00000000">
        <w:rPr>
          <w:rtl w:val="0"/>
        </w:rPr>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But, after more than 25 years of effort, it seems it could be game over for challenger banks.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Last week, Sabadell, the Spanish owner of TSB, stunned the City by confirming it had received potential bids for the British bank it bought ten years ago. That came just hours after reports that Metro Bank had </w:t>
      </w:r>
      <w:hyperlink r:id="rId6">
        <w:r w:rsidDel="00000000" w:rsidR="00000000" w:rsidRPr="00000000">
          <w:rPr>
            <w:color w:val="416ed2"/>
            <w:sz w:val="27"/>
            <w:szCs w:val="27"/>
            <w:rtl w:val="0"/>
          </w:rPr>
          <w:t xml:space="preserve">received a takeover approach</w:t>
        </w:r>
      </w:hyperlink>
      <w:r w:rsidDel="00000000" w:rsidR="00000000" w:rsidRPr="00000000">
        <w:rPr>
          <w:color w:val="1b1b1b"/>
          <w:sz w:val="27"/>
          <w:szCs w:val="27"/>
          <w:rtl w:val="0"/>
        </w:rPr>
        <w:t xml:space="preserve">from a private equity house.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It led the ratings agency Moody’s to warn that consolidation in the sector would “ease the competitive pressure on the big UK banks”.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So why have the challengers lost their way? And is anything coming to replace them?</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Intriguingly, Santander is said to have </w:t>
      </w:r>
      <w:hyperlink r:id="rId7">
        <w:r w:rsidDel="00000000" w:rsidR="00000000" w:rsidRPr="00000000">
          <w:rPr>
            <w:color w:val="416ed2"/>
            <w:sz w:val="27"/>
            <w:szCs w:val="27"/>
            <w:rtl w:val="0"/>
          </w:rPr>
          <w:t xml:space="preserve">expressed an interest in TSB</w:t>
        </w:r>
      </w:hyperlink>
      <w:r w:rsidDel="00000000" w:rsidR="00000000" w:rsidRPr="00000000">
        <w:rPr>
          <w:color w:val="1b1b1b"/>
          <w:sz w:val="27"/>
          <w:szCs w:val="27"/>
          <w:rtl w:val="0"/>
        </w:rPr>
        <w:t xml:space="preserve">. This has surprised some in the City given speculation that chief executive Ana Botin was looking to exit the UK market, something she was forced to deny this year.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While Santander has already claimed a slot as the fifth-biggest bank in Britain since arriving on the scene with the takeover of Abbey National in 2004, it has struggled to achieve the dominance it craved. Buying TSB might edge it closer to that goal.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 sign, perhaps, that the game to challenge the big four is not over yet.</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business/companies-markets/article/takeover-talk-grips-uk-banking-with-santander-tsb-and-metro-in-frame-rm5d3zkgk" TargetMode="External"/><Relationship Id="rId7" Type="http://schemas.openxmlformats.org/officeDocument/2006/relationships/hyperlink" Target="https://www.thetimes.com/business/companies-markets/article/banco-santander-eyes-deal-to-buy-tsb-rlf3vjt9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