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60" w:before="0" w:line="291.38399999999996" w:lineRule="auto"/>
        <w:rPr>
          <w:b w:val="1"/>
          <w:bCs w:val="1"/>
          <w:color w:val="1b1b1b"/>
          <w:sz w:val="90"/>
          <w:szCs w:val="90"/>
        </w:rPr>
      </w:pPr>
      <w:bookmarkStart w:colFirst="0" w:colLast="0" w:name="_az7qrwl41n1i" w:id="0"/>
      <w:bookmarkEnd w:id="0"/>
      <w:r w:rsidDel="00000000" w:rsidR="00000000" w:rsidRPr="00000000">
        <w:rPr>
          <w:b w:val="1"/>
          <w:bCs w:val="1"/>
          <w:color w:val="1b1b1b"/>
          <w:sz w:val="90"/>
          <w:szCs w:val="90"/>
          <w:rtl w:val="0"/>
        </w:rPr>
        <w:t xml:space="preserve">Have loans by challenger banks to small business peaked?</w:t>
      </w:r>
    </w:p>
    <w:p w:rsidR="00000000" w:rsidDel="00000000" w:rsidP="00000000" w:rsidRDefault="00000000" w:rsidRPr="00000000" w14:paraId="00000002">
      <w:pPr>
        <w:pStyle w:val="Heading2"/>
        <w:keepNext w:val="0"/>
        <w:keepLines w:val="0"/>
        <w:spacing w:after="80" w:before="0" w:line="305.46" w:lineRule="auto"/>
        <w:rPr>
          <w:sz w:val="50"/>
          <w:szCs w:val="50"/>
        </w:rPr>
      </w:pPr>
      <w:bookmarkStart w:colFirst="0" w:colLast="0" w:name="_gc0ydq901hv0" w:id="1"/>
      <w:bookmarkEnd w:id="1"/>
      <w:r w:rsidDel="00000000" w:rsidR="00000000" w:rsidRPr="00000000">
        <w:rPr>
          <w:sz w:val="50"/>
          <w:szCs w:val="50"/>
          <w:rtl w:val="0"/>
        </w:rPr>
        <w:t xml:space="preserve">Lending to SMEs holds steady at 60% raising the question of whether major high street banks are starting to lend more again</w:t>
      </w:r>
    </w:p>
    <w:p w:rsidR="00000000" w:rsidDel="00000000" w:rsidP="00000000" w:rsidRDefault="00000000" w:rsidRPr="00000000" w14:paraId="00000003">
      <w:pPr>
        <w:spacing w:after="280" w:before="280" w:lineRule="auto"/>
        <w:rPr>
          <w:color w:val="1b1b1b"/>
          <w:sz w:val="27"/>
          <w:szCs w:val="27"/>
        </w:rPr>
      </w:pPr>
      <w:r w:rsidDel="00000000" w:rsidR="00000000" w:rsidRPr="00000000">
        <w:rPr>
          <w:color w:val="1b1b1b"/>
          <w:sz w:val="27"/>
          <w:szCs w:val="27"/>
          <w:rtl w:val="0"/>
        </w:rPr>
        <w:t xml:space="preserve">The share of bank lending to smaller companies by challenger banks held steady at 60 per cent last year, the British Business Bank has found.</w:t>
      </w:r>
    </w:p>
    <w:p w:rsidR="00000000" w:rsidDel="00000000" w:rsidP="00000000" w:rsidRDefault="00000000" w:rsidRPr="00000000" w14:paraId="00000004">
      <w:pPr>
        <w:spacing w:after="280" w:before="280" w:lineRule="auto"/>
        <w:rPr>
          <w:color w:val="1b1b1b"/>
          <w:sz w:val="27"/>
          <w:szCs w:val="27"/>
        </w:rPr>
      </w:pPr>
      <w:r w:rsidDel="00000000" w:rsidR="00000000" w:rsidRPr="00000000">
        <w:rPr>
          <w:color w:val="1b1b1b"/>
          <w:sz w:val="27"/>
          <w:szCs w:val="27"/>
          <w:rtl w:val="0"/>
        </w:rPr>
        <w:t xml:space="preserve">It is only the second time since 2013 that the market share of challenger banks has not risen year-on-year, outside of a brief slide in 2019 and the surge in main bank lending during the outbreak of Covid.</w:t>
      </w:r>
    </w:p>
    <w:p w:rsidR="00000000" w:rsidDel="00000000" w:rsidP="00000000" w:rsidRDefault="00000000" w:rsidRPr="00000000" w14:paraId="00000005">
      <w:pPr>
        <w:spacing w:after="280" w:before="280" w:lineRule="auto"/>
        <w:rPr>
          <w:color w:val="1b1b1b"/>
          <w:sz w:val="27"/>
          <w:szCs w:val="27"/>
        </w:rPr>
      </w:pPr>
      <w:r w:rsidDel="00000000" w:rsidR="00000000" w:rsidRPr="00000000">
        <w:rPr>
          <w:color w:val="1b1b1b"/>
          <w:sz w:val="27"/>
          <w:szCs w:val="27"/>
          <w:rtl w:val="0"/>
        </w:rPr>
        <w:t xml:space="preserve">In 2012, 61 per cent of lending came from the main banks, Lloyds, NatWest, Barclays, HSBC and Santander. Half of all SMEs use some form of external finance, the most popular being credit cards and overdrafts, although the use of the latter fell to £7 billion last year — the lowest on record — as banks continued to discourage this form of unsecured lending. Only 9 per cent of lending is traditional bank loans.</w:t>
      </w:r>
    </w:p>
    <w:p w:rsidR="00000000" w:rsidDel="00000000" w:rsidP="00000000" w:rsidRDefault="00000000" w:rsidRPr="00000000" w14:paraId="00000006">
      <w:pPr>
        <w:spacing w:after="280" w:before="280" w:lineRule="auto"/>
        <w:rPr>
          <w:color w:val="1b1b1b"/>
          <w:sz w:val="27"/>
          <w:szCs w:val="27"/>
        </w:rPr>
      </w:pPr>
      <w:r w:rsidDel="00000000" w:rsidR="00000000" w:rsidRPr="00000000">
        <w:rPr>
          <w:color w:val="1b1b1b"/>
          <w:sz w:val="27"/>
          <w:szCs w:val="27"/>
          <w:rtl w:val="0"/>
        </w:rPr>
        <w:t xml:space="preserve">Lloyds Bank, for example, said last November that it would make £9.5 billion available to SMEs this year, a figure that is understood to be higher than the sums available the year before. In January, it joined NatWest, HSBC, Barclays, and Santander in setting aside £11 billion specifically to support SME exporters.</w:t>
      </w:r>
    </w:p>
    <w:p w:rsidR="00000000" w:rsidDel="00000000" w:rsidP="00000000" w:rsidRDefault="00000000" w:rsidRPr="00000000" w14:paraId="00000007">
      <w:pPr>
        <w:spacing w:after="280" w:before="280" w:lineRule="auto"/>
        <w:rPr>
          <w:color w:val="1b1b1b"/>
          <w:sz w:val="27"/>
          <w:szCs w:val="27"/>
        </w:rPr>
      </w:pPr>
      <w:r w:rsidDel="00000000" w:rsidR="00000000" w:rsidRPr="00000000">
        <w:rPr>
          <w:color w:val="1b1b1b"/>
          <w:sz w:val="27"/>
          <w:szCs w:val="27"/>
          <w:rtl w:val="0"/>
        </w:rPr>
        <w:t xml:space="preserve">Taylor said the fact that challenger banks, which include the likes of Starling, Allica and Oxbury, had retained their majority share of new lending reflected “the success we have had in helping some of the </w:t>
      </w:r>
      <w:hyperlink r:id="rId6">
        <w:r w:rsidDel="00000000" w:rsidR="00000000" w:rsidRPr="00000000">
          <w:rPr>
            <w:color w:val="416ed2"/>
            <w:sz w:val="27"/>
            <w:szCs w:val="27"/>
            <w:rtl w:val="0"/>
          </w:rPr>
          <w:t xml:space="preserve">challenger banks</w:t>
        </w:r>
      </w:hyperlink>
      <w:r w:rsidDel="00000000" w:rsidR="00000000" w:rsidRPr="00000000">
        <w:rPr>
          <w:color w:val="1b1b1b"/>
          <w:sz w:val="27"/>
          <w:szCs w:val="27"/>
          <w:rtl w:val="0"/>
        </w:rPr>
        <w:t xml:space="preserve"> to establish business models, scale and to increase the diversity of finance for SMEs over the last ten years”.</w:t>
      </w:r>
    </w:p>
    <w:p w:rsidR="00000000" w:rsidDel="00000000" w:rsidP="00000000" w:rsidRDefault="00000000" w:rsidRPr="00000000" w14:paraId="0000000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thetimes.com/business/companies-markets/article/time-uks-fintech-stars-list-london-3xx6rgtb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