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rPr>
      </w:pPr>
      <w:bookmarkStart w:colFirst="0" w:colLast="0" w:name="_ntri3r2kh7st" w:id="0"/>
      <w:bookmarkEnd w:id="0"/>
      <w:r w:rsidDel="00000000" w:rsidR="00000000" w:rsidRPr="00000000">
        <w:rPr>
          <w:b w:val="1"/>
          <w:bCs w:val="1"/>
          <w:color w:val="1b1b1b"/>
          <w:sz w:val="90"/>
          <w:szCs w:val="90"/>
          <w:rtl w:val="0"/>
        </w:rPr>
        <w:t xml:space="preserve">Anglican clergy pension fund to vote against directors at NatWest, Santander and HSBC</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pStyle w:val="Heading2"/>
        <w:keepNext w:val="0"/>
        <w:keepLines w:val="0"/>
        <w:spacing w:after="80" w:before="0" w:line="305.46" w:lineRule="auto"/>
        <w:rPr>
          <w:sz w:val="17"/>
          <w:szCs w:val="17"/>
        </w:rPr>
      </w:pPr>
      <w:bookmarkStart w:colFirst="0" w:colLast="0" w:name="_bc0rd8906txw" w:id="1"/>
      <w:bookmarkEnd w:id="1"/>
      <w:r w:rsidDel="00000000" w:rsidR="00000000" w:rsidRPr="00000000">
        <w:rPr>
          <w:sz w:val="50"/>
          <w:szCs w:val="50"/>
          <w:rtl w:val="0"/>
        </w:rPr>
        <w:t xml:space="preserve">Banks accused of backtracking on their climate risk pledges ahead of annual meetings</w:t>
      </w: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pension fund for Anglican clergy has pledged to vote against board directors at NatWest, Santander and HSBC, as it accused the banks of having “materially backtracked” on their climate commitments.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move is the latest sign of how pension funds are continuing to grapple with rising climate risks, even as many major companies including big banks have retreated from previous undertakings.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Church of England Pensions Board, which oversees £3.5bn in assets, said climate change and nature loss were “systemic risks”. The major banks in its sights at upcoming investor meetings had “weakened climate-related policies, diluted financing targets for sensitive sectors or stepped back from previously stated commitments”.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Laura Hillis, the Church of England Pensions Board’s managing director for responsible investment, said the decision to vote against bank directors was “not about punishing companies who haven’t been able to meet their commitments despite best efforts”, but about the “integrity of governance”.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Voting against a director at an annual meeting is usually considered a last resort for investors, with many preferring to have behind-the-scenes conversations or voice their upset through non-personalised resolutions instead.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“When banks dilute or abandon commitments that investors have understood as being part of the company strategy and risk management approach, it raises serious questions about board oversight, risk management and long-term strategic resilience,” Hillis said.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“Investors need confidence that directors will maintain consistent, credible oversight of climate and risk policies. Where that confidence is undermined, we will act.”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Despite its relatively small scale, the Church of England, through its pension fund and its endowment fund known as the Church Commissioners for England, has long played a large role in shaping governance policy in the UK.</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pension board said it planned to vote against directors at the annual meetings of NatWest, Santander and HSBC, held over the next six weeks, and would “monitor other banks’ reporting” over coming months.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While leading banks set ambitious climate policies at the turn of the decade, many have since retreated, particularly following a pushback on green action in the US under President Donald Trump.</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Earlier this month, the Danish pension fund AkademikerPension also </w:t>
      </w:r>
      <w:hyperlink r:id="rId6">
        <w:r w:rsidDel="00000000" w:rsidR="00000000" w:rsidRPr="00000000">
          <w:rPr>
            <w:color w:val="416ed2"/>
            <w:sz w:val="27"/>
            <w:szCs w:val="27"/>
            <w:rtl w:val="0"/>
          </w:rPr>
          <w:t xml:space="preserve">said</w:t>
        </w:r>
      </w:hyperlink>
      <w:r w:rsidDel="00000000" w:rsidR="00000000" w:rsidRPr="00000000">
        <w:rPr>
          <w:color w:val="1b1b1b"/>
          <w:sz w:val="27"/>
          <w:szCs w:val="27"/>
          <w:rtl w:val="0"/>
        </w:rPr>
        <w:t xml:space="preserve"> it would vote against board members at HSBC, Santander and NatWest over “climate target setbacks”. This included HSBC chair Brendan Nelson, at his first meeting in that role, and NatWest chair Rick Haythornthwaite.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Nest, the UK’s largest pension fund by membership, also updated its voting policies recently to indicate it could vote against directors over climate concerns.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bank said its “ambition is to become a net-zero bank by 2050” and to support customer decarbonisation plans, which differed across industries and geographies, and it had mobilised sustainable finance at scale.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NatWest and Santander last month also softened policies on fossil fuel financing.</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Santander said its “lending policies are reviewed regularly by the board to ensure we support clients and markets in different stages of transition”, and that it was also a big lender to renewable energy projects.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Earlier this year, ShareAction, a group that pushes for responsible investment, called on institutional investors to vote against the re-election of board chairs of banks which were rowing back on their climate targets.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Kelly Shields, senior campaign manager at ShareAction, said the Church of England was “right to draw a clear red line when banks quietly weaken the climate plans they once championed”.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“When directors make decisions that expose people’s pensions to long‑term risk, they should expect scrutiny, not a free pass.”</w:t>
      </w:r>
    </w:p>
    <w:p w:rsidR="00000000" w:rsidDel="00000000" w:rsidP="00000000" w:rsidRDefault="00000000" w:rsidRPr="00000000" w14:paraId="00000016">
      <w:pPr>
        <w:pStyle w:val="Heading3"/>
        <w:keepNext w:val="0"/>
        <w:keepLines w:val="0"/>
        <w:spacing w:before="280" w:lineRule="auto"/>
        <w:rPr>
          <w:b w:val="1"/>
          <w:bCs w:val="1"/>
          <w:color w:val="1b1b1b"/>
          <w:sz w:val="39"/>
          <w:szCs w:val="39"/>
        </w:rPr>
      </w:pPr>
      <w:bookmarkStart w:colFirst="0" w:colLast="0" w:name="_no1mgr92sxgi" w:id="2"/>
      <w:bookmarkEnd w:id="2"/>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kademikerpension.dk/media/yqgf0til/press-release-vote-no-campaign-on-bank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