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48gl9v94otos" w:id="0"/>
      <w:bookmarkEnd w:id="0"/>
      <w:r w:rsidDel="00000000" w:rsidR="00000000" w:rsidRPr="00000000">
        <w:rPr>
          <w:b w:val="1"/>
          <w:bCs w:val="1"/>
          <w:color w:val="1b1b1b"/>
          <w:sz w:val="90"/>
          <w:szCs w:val="90"/>
          <w:rtl w:val="0"/>
        </w:rPr>
        <w:t xml:space="preserve">Santander to buy UK high street lender TSB for £2.65bn</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4">
      <w:pPr>
        <w:pStyle w:val="Heading2"/>
        <w:keepNext w:val="0"/>
        <w:keepLines w:val="0"/>
        <w:spacing w:after="80" w:before="0" w:line="305.46" w:lineRule="auto"/>
        <w:rPr>
          <w:sz w:val="50"/>
          <w:szCs w:val="50"/>
        </w:rPr>
      </w:pPr>
      <w:bookmarkStart w:colFirst="0" w:colLast="0" w:name="_wn3z8r8cm49d" w:id="1"/>
      <w:bookmarkEnd w:id="1"/>
      <w:r w:rsidDel="00000000" w:rsidR="00000000" w:rsidRPr="00000000">
        <w:rPr>
          <w:sz w:val="50"/>
          <w:szCs w:val="50"/>
          <w:rtl w:val="0"/>
        </w:rPr>
        <w:t xml:space="preserve">Spanish bank beat British rival Barclays which also put in formal bid for Sabadell-owned unit</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6fypfwkn1gvv" w:id="2"/>
      <w:bookmarkEnd w:id="2"/>
      <w:r w:rsidDel="00000000" w:rsidR="00000000" w:rsidRPr="00000000">
        <w:rPr>
          <w:rtl w:val="0"/>
        </w:rPr>
      </w:r>
    </w:p>
    <w:p w:rsidR="00000000" w:rsidDel="00000000" w:rsidP="00000000" w:rsidRDefault="00000000" w:rsidRPr="00000000" w14:paraId="00000006">
      <w:pPr>
        <w:pStyle w:val="Heading2"/>
        <w:keepNext w:val="0"/>
        <w:keepLines w:val="0"/>
        <w:spacing w:after="80" w:before="0" w:line="305.46" w:lineRule="auto"/>
        <w:rPr>
          <w:color w:val="1b1b1b"/>
          <w:sz w:val="27"/>
          <w:szCs w:val="27"/>
        </w:rPr>
      </w:pPr>
      <w:bookmarkStart w:colFirst="0" w:colLast="0" w:name="_u0fqebtld2ji" w:id="3"/>
      <w:bookmarkEnd w:id="3"/>
      <w:r w:rsidDel="00000000" w:rsidR="00000000" w:rsidRPr="00000000">
        <w:rPr>
          <w:color w:val="1b1b1b"/>
          <w:sz w:val="27"/>
          <w:szCs w:val="27"/>
          <w:rtl w:val="0"/>
        </w:rPr>
        <w:t xml:space="preserve">Santander has agreed to buy the British high street lender TSB for £2.65bn, in a move that underlines the Spanish bank’s commitment to its UK retail operation only months after it entertained bids for the business.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Santander beat its British rival Barclays which also put in a formal bid for the Sabadell-owned unit, according to people familiar with the matter.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move was seen by industry observers as a deterrent to a takeover by BBVA, which launched its hostile bid for Sabadell last May and which has since descended into Spain’s most ill-tempered takeover saga in years.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Santander’s successful bid for TSB will boost the Spanish lender’s UK market share and comes after a period of uncertainty about its future in Britain, where the bank has cut thousands of jobs. Its UK chair also announced his departure earlier this year following disagreements with the group’s leadership.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Over the past year Santander has </w:t>
      </w:r>
      <w:hyperlink r:id="rId6">
        <w:r w:rsidDel="00000000" w:rsidR="00000000" w:rsidRPr="00000000">
          <w:rPr>
            <w:color w:val="416ed2"/>
            <w:sz w:val="27"/>
            <w:szCs w:val="27"/>
            <w:rtl w:val="0"/>
          </w:rPr>
          <w:t xml:space="preserve">entertained bids from </w:t>
        </w:r>
      </w:hyperlink>
      <w:r w:rsidDel="00000000" w:rsidR="00000000" w:rsidRPr="00000000">
        <w:rPr>
          <w:color w:val="1b1b1b"/>
          <w:sz w:val="27"/>
          <w:szCs w:val="27"/>
          <w:rtl w:val="0"/>
        </w:rPr>
        <w:t xml:space="preserve">both NatWest and Barclays for its UK retail arm, but ultimately rejected the offers because of disagreements over price, the FT previously reported.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bank’s Spanish executives had grown frustrated with the weaker returns at its UK business relative to its other markets, as well as the unit’s high cost base.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“We didn’t want to sell the UK business but we did have offers,” said one person familiar with the matter. “This is the better outcome and will allow Santander to address its UK issues . . . and accelerate growth.”</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Santander earlier this year sold a large part of its Polish operations to Austrian bank Erste Group for about €7bn, promising to use half of the cash to buy back its own shares.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BBVA has never been clear about its plans for Sabadell, but was widely expected to put it on the market if it succeeded in buying its Spanish rival. However, it has faced considerable pushback from the Spanish government, which last week said it would block a legal merger between the banks for at least three years.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Santander said the combination “would deliver substantial value to Santander shareholders through increased . . . scale, greater access to low-risk mortgages and high-quality deposits, and operational efficiencies”.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content/5868abdb-0f46-4c56-a342-49763a55cdb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