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8p02hiecxcx6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Santander on course for higher profits in 2025 despite Latam currency hit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Q2 profit up 7% to 3.4 billion euros versus 3.2 billion forecast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Mexico and Brazil hit by currency depreciations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Spain, US profit rise by 13% and 10% respectively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Santander will distribute 1.7 billion euros in buybacks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Ends with solvency ratio of 13% at end-June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MADRID, July 30 (Reuters) - Santander stuck with its guidance for higher profits in 2025 on Wednesday after a strong performance from Spain and the U.S. in its second quarter offset some weaknesses in Brazil and Mexico.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Executive Chairperson Ana Patricia Botin said the bank's geographical spread - it operates in ten core markets - would act as a stabiliser despite "continuing geopolitical uncertainty".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euro zone's biggest lender by market value is strong in key Latin American markets such as Brazil, which in the past has given it an edge over more Europe-dependent rivals.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Santander reported a 7% rise in net profit in its second quarter, a fifth consecutive record quarter in a row, reaching 3.43 billion euros ($3.96 billion) in the April to June period.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quarterly net profit in Mexico, its fourth-biggest market, fell 6.8% against a backdrop of U.S. trade tariffs and the depreciation of the Mexican peso, while net profit in Brazil, its second-biggest market after Spain, declined 16%.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rise of 2.4% in fees helped lift Santander's return-on-tangible-equity ratio (ROTE) after the impact of additional Tier 1 (AT1) capital instruments, to 16.2% in the quarter, compared to 15.8% at the end of March.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bank said it was on track to meet its target of around 16.5% this year.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Provisions were down 3% year-on-year in the quarter.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bank also said it was on track to meet its full-year revenue target of around 62 billion euros, while its core Tier-1 capital ratio rose 10 basis points in the quarter to 13% by end-June, at the top end of the bank's operating range of 12% to 13% after achieving the 2025 target ahead of schedule.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Santander shares were down 2% as of 0910 GMT, having risen around 70% so far this year.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Broker UBS expected a market correction, saying that the results were broadly in line with expectations.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bank also announced a new share buyback of 1.7 billion euros set to begin on Thursday, representing around 25% of the group's profit in the first half of 2025.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Spain net profit rose almost 13%, helped by lower impairments and trading gains, while in the UK, where the bank recently struck a deal to buy Sabadell's TSB, net profit fell 15% due to branch restructuring costs.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U.S., net profit rose 10% amid higher fees.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Overall, the bank's net interest income, a measure of earnings on loans minus deposit costs, fell 1.2% year-on-year on underlying basis in the quarter to 11.34 billion euros, slightly above the 11.26 billion euros expected by analysts.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efficiency ratio improved to 41.2% in the quarter from 41.8% at the end of the first quarter, driven by the bank's transformation towards a more digital and integrated model.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Profit at its retail business, the main contributor to earnings of its five global units, and its consumer unit fell 2.7% and 9%, respectively.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Its wealth management unit jumped 14%, while its corporate and investment banking business rose 6%. Payments business booked a profit of 209 million euros compared to loss of around 90 million euros in the same period a year ago.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