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kqbcz8marqhr" w:id="0"/>
      <w:bookmarkEnd w:id="0"/>
      <w:r w:rsidDel="00000000" w:rsidR="00000000" w:rsidRPr="00000000">
        <w:rPr>
          <w:b w:val="1"/>
          <w:bCs w:val="1"/>
          <w:color w:val="1b1b1b"/>
          <w:sz w:val="90"/>
          <w:szCs w:val="90"/>
          <w:rtl w:val="0"/>
        </w:rPr>
        <w:t xml:space="preserve">How Santander took a $12bn gamble on cracking the US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j0pdmrz3cqp5" w:id="1"/>
      <w:bookmarkEnd w:id="1"/>
      <w:r w:rsidDel="00000000" w:rsidR="00000000" w:rsidRPr="00000000">
        <w:rPr>
          <w:sz w:val="50"/>
          <w:szCs w:val="50"/>
          <w:rtl w:val="0"/>
        </w:rPr>
        <w:t xml:space="preserve">While many European banks have a poor record in the US, the Spanish lender believes its Webster Financial deal is different</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Santander’s largest M&amp;A deal under chair Ana Botín began with a JPMorgan Chase conference in New York in 2023, where the Spanish executive first met John Ciulla, head of US-based Webster Financial.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two struck up a rapport and stayed in touch. Then towards the end of last year, Ciulla approached Botín with an ambitious proposal: an outright takeover.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Within nine weeks of formal discussions beginning, the biggest acquisition of a US bank by a continental European lender was done. </w:t>
      </w:r>
      <w:hyperlink r:id="rId6">
        <w:r w:rsidDel="00000000" w:rsidR="00000000" w:rsidRPr="00000000">
          <w:rPr>
            <w:color w:val="416ed2"/>
            <w:sz w:val="27"/>
            <w:szCs w:val="27"/>
            <w:rtl w:val="0"/>
          </w:rPr>
          <w:t xml:space="preserve">Santander</w:t>
        </w:r>
      </w:hyperlink>
      <w:r w:rsidDel="00000000" w:rsidR="00000000" w:rsidRPr="00000000">
        <w:rPr>
          <w:color w:val="1b1b1b"/>
          <w:sz w:val="27"/>
          <w:szCs w:val="27"/>
          <w:rtl w:val="0"/>
        </w:rPr>
        <w:t xml:space="preserve"> announced its </w:t>
      </w:r>
      <w:hyperlink r:id="rId7">
        <w:r w:rsidDel="00000000" w:rsidR="00000000" w:rsidRPr="00000000">
          <w:rPr>
            <w:color w:val="416ed2"/>
            <w:sz w:val="27"/>
            <w:szCs w:val="27"/>
            <w:rtl w:val="0"/>
          </w:rPr>
          <w:t xml:space="preserve">$12.2bn purchase of Webster</w:t>
        </w:r>
      </w:hyperlink>
      <w:r w:rsidDel="00000000" w:rsidR="00000000" w:rsidRPr="00000000">
        <w:rPr>
          <w:color w:val="1b1b1b"/>
          <w:sz w:val="27"/>
          <w:szCs w:val="27"/>
          <w:rtl w:val="0"/>
        </w:rPr>
        <w:t xml:space="preserve">, codenamed “Project Wren”, last week.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transaction marks the culmination of Botín’s year-long mergers and acquisitions spree as she seeks to refocus Santander by bolstering its operations in the UK and US — geographies where it has historically struggled.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“If one is not in the United States, one cannot aspire to be a global bank,” Botín said of the deal. “Europe needs global companies and banks, and for that, we need to compete successfully in the United States.”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deal, which will propel Santander into the top-10 retail and commercial banks by assets in the US, flies in the face of a string of European misadventures in the country. BNP Paribas, HSBC and BBVA have all exited US retail banking in recent years, having struggled with sub-scale franchises that delivered poor returns and distracted from more profitable regions.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“Some investors will worry about the risk of empire building,” said Hugo Cruz, an analyst at KBW.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Andrea Filtri of Mediobanca said that while the deal was rational, it was also “perhaps a bit of a whim”. Santander’s share price fell as much as 4 per cent in the wake of the announcement.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Santander has had a foothold in the north-east of the US since it bought Sovereign Bancorp in 2008 at the height of the financial crisis. In parallel, the Spanish bank built a large and ultimately profitable car finance division.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by the early 2020s the sub-scale US business had attracted regulatory scrutiny and was struggling: the group’s US consumer business holds the dubious distinction of becoming the first institution to fail the Federal Reserve’s stress tests for three consecutive years.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Botín refused to quit and acquired Amherst Pierpont Securities, a designated primary dealer of US Treasuries, for $600mn in 2021.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From there she embarked on a significant expansion of Santander’s corporate and investment bank (CIB) — helped by the collapse of Credit Suisse, which enabled it to pick up a clutch of experienced bankers — with the CIB delivering €8.5bn of revenues last year, up from €5.7bn in 2021. The US is now Santander CIB’s largest market, accounting for nearly a fifth of the unit’s revenues last year.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Still, one senior investment banker, who praised Botín’s “vision and decisiveness” in acquiring Webster, cautioned that the “jury is still out” on Santander’s CIB progress. “We haven’t seen them go through a down cycle yet.”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bank’s motor finance business — which focuses on the subprime market — has also begun to show signs of strain.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At the end of 2025, Santander’s US bank subsidiary had $13.6bn in car loans, about a quarter of its lending book, according to regulatory filings compiled by BankRegData. But almost 3 per cent of these loans had repayments that were at least 30 days past due, higher than most of its peers.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Despite recent growth, Santander only has about 4.5mn customers in the US and the bank’s leadership felt the business lacked scale, according to people familiar with its thinking.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Executives started staking out new targets including Citizens Financial and M&amp;T Bank, one person familiar with the matter said, before the opportunity to buy Webster came up. </w:t>
      </w:r>
    </w:p>
    <w:p w:rsidR="00000000" w:rsidDel="00000000" w:rsidP="00000000" w:rsidRDefault="00000000" w:rsidRPr="00000000" w14:paraId="00000014">
      <w:pPr>
        <w:spacing w:after="280" w:before="280" w:lineRule="auto"/>
        <w:rPr>
          <w:sz w:val="17"/>
          <w:szCs w:val="17"/>
        </w:rPr>
      </w:pPr>
      <w:r w:rsidDel="00000000" w:rsidR="00000000" w:rsidRPr="00000000">
        <w:rPr>
          <w:color w:val="1b1b1b"/>
          <w:sz w:val="27"/>
          <w:szCs w:val="27"/>
          <w:rtl w:val="0"/>
        </w:rPr>
        <w:t xml:space="preserve">With Webster, Santander will acquire an established retail and consumer bank with $84bn in assets, 5mn customers and about 200 branches. Botín said Webster’s presence in US commercial banking, where Santander is less strong, was also a key attraction. </w:t>
      </w:r>
      <w:r w:rsidDel="00000000" w:rsidR="00000000" w:rsidRPr="00000000">
        <w:rPr>
          <w:rtl w:val="0"/>
        </w:rPr>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One person involved in the deal said the Spanish group was concentrating its US network in Connecticut, Massachusetts and New York, as well as getting a “much more diversified balance sheet and improving its deposit mix with much cheaper funding”.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“It gives them a much more effective base to grow organically,” the person added. The two banks have meaningful overlap in parts of the north-east, which should enable Santander to find cost savings by consolidating branches and back-office functions.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But it also sets Santander’s takeover of Webster apart from other US bank deals. Although there has been a wave of consolidation among regional lenders, much of the action has been concentrated in the southern US, where states such as Florida and Texas are experiencing faster growth than the wider country.</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Santander said the “bolt-on” deal would allow it to grow return on tangible equity — a closely watched measure of profitability — at its US business from its current level of about 10 per cent to 18 per cent by 2028.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Botín’s M&amp;A push has been aided by a higher share price — which has climbed 140 per cent since the beginning of 2025 — as well as a €6.8bn windfall from the sale of its Polish business last year.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The Spanish lender is now the most valuable bank in the Eurozone with a market capitalisation of €158bn. It trades at about 1.5 times the book value of its assets, according to Bloomberg data. </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 senior investment banker said: “This time last year, Santander was trading below book value. It is now well above book, so that multiple arbitrage has helped [Botín] execute these deals.”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However, whether an acquisition spree is the best use of capital for the bank is an open question and the deal took the market by surprise.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Borja Ramirez Segura, an analyst at Citigroup, said: “Investors may have preferred Santander to instead use its excess capital to fund additional [cost-cutting] and returns to shareholders.”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But Cruz of KBW said shareholders needed to “trust Santander a bit more . . . and think of M&amp;A more as an opportunity than a risk”.</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After Webster and the £2.65bn purchase of British high street lender TSB last July, Botín has said she will not pursue further deals for at least three years. Santander’s focus will turn to the potentially challenging task of integrating both acquisitions at the same time. </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Execution will determine whether Botín’s bet successfully reshapes Santander or joins the long list of European banks that misjudged the US.</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“Webster is the last piece of the jigsaw,” said one person who works closely with </w:t>
      </w:r>
      <w:hyperlink r:id="rId8">
        <w:r w:rsidDel="00000000" w:rsidR="00000000" w:rsidRPr="00000000">
          <w:rPr>
            <w:color w:val="416ed2"/>
            <w:sz w:val="27"/>
            <w:szCs w:val="27"/>
            <w:rtl w:val="0"/>
          </w:rPr>
          <w:t xml:space="preserve">Botín</w:t>
        </w:r>
      </w:hyperlink>
      <w:r w:rsidDel="00000000" w:rsidR="00000000" w:rsidRPr="00000000">
        <w:rPr>
          <w:color w:val="1b1b1b"/>
          <w:sz w:val="27"/>
          <w:szCs w:val="27"/>
          <w:rtl w:val="0"/>
        </w:rPr>
        <w:t xml:space="preserve">. “Her legacy is about creating a bank that is very profitable and very scaled, and her focus is now on growth.” </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d47803e0-9965-4d9a-af69-c346aa27ade8" TargetMode="External"/><Relationship Id="rId7" Type="http://schemas.openxmlformats.org/officeDocument/2006/relationships/hyperlink" Target="https://www.ft.com/content/cc68c782-cf03-4126-b5b1-c7d733e1ccc9" TargetMode="External"/><Relationship Id="rId8" Type="http://schemas.openxmlformats.org/officeDocument/2006/relationships/hyperlink" Target="https://www.ft.com/content/258fce5b-285b-49d3-b8b8-3aeac4520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