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3go06289b57" w:id="0"/>
      <w:bookmarkEnd w:id="0"/>
      <w:r w:rsidDel="00000000" w:rsidR="00000000" w:rsidRPr="00000000">
        <w:rPr>
          <w:b w:val="1"/>
          <w:bCs w:val="1"/>
          <w:color w:val="1b1b1b"/>
          <w:sz w:val="90"/>
          <w:szCs w:val="90"/>
          <w:rtl w:val="0"/>
        </w:rPr>
        <w:t xml:space="preserve">Santander to cut costs further as profits rise despite another motor finance hit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UK has revealed a hike in annual profits despite putting by another £183 million to cover costs of the motor finance mis-selling scandal and warned over cost-cutting in the year ahead.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Spanish-owned lending giant reported a 14% rise in pre-tax profits to £1.51 billion for 2025.</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 added the additional provision for motor finance compensation and costs, on top of £295 million for the saga in 2024, having earlier cancelled third quarter results to assess the impact of the Financial Conduct Authority’s redress scheme.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it cautioned “there continue to be significant uncertainties as to the nature, extent and timing of redress payments”.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ultimate financial impact could be materially higher or lower than the amount provided,” the bank said.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 full-year results it also set the scene for more cost-cutting in 2026, less than a week after it revealed plans to shut another 44 branches, putting nearly 300 jobs at risk.</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Santander said it expects further cost efficiencies in 2026 “driven by simplification and automation of our business”.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Last week’s branch closures will leave it with 244 full branches, although it will add more through the deal to take over smaller rival TSB.</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said it expects to complete the £2.65 billion TSB deal in the first half of 2026, having previously guided for the first quarter.</w:t>
      </w:r>
    </w:p>
    <w:p w:rsidR="00000000" w:rsidDel="00000000" w:rsidP="00000000" w:rsidRDefault="00000000" w:rsidRPr="00000000" w14:paraId="0000000E">
      <w:pPr>
        <w:spacing w:after="280" w:before="280" w:lineRule="auto"/>
        <w:rPr>
          <w:sz w:val="17"/>
          <w:szCs w:val="17"/>
        </w:rPr>
      </w:pPr>
      <w:r w:rsidDel="00000000" w:rsidR="00000000" w:rsidRPr="00000000">
        <w:rPr>
          <w:color w:val="1b1b1b"/>
          <w:sz w:val="27"/>
          <w:szCs w:val="27"/>
          <w:rtl w:val="0"/>
        </w:rPr>
        <w:t xml:space="preserve">Outgoing chief executive Mike Regnier said: “The most significant change in 2026 is expected to be the acquisition of TSB, for which we hope to receive regulatory approval in the first half of the year.</w:t>
      </w:r>
      <w:r w:rsidDel="00000000" w:rsidR="00000000" w:rsidRPr="00000000">
        <w:rPr>
          <w:rtl w:val="0"/>
        </w:rPr>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“This landmark acquisition will create the UK’s third-largest bank by personal current account balances, enhancing the profitability of Santander UK and creating stronger competition and choice for customers.”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group announced last week that Mahesh Aditya, who is currently group chief risk officer at Banco Santander, will become chief executive of the UK bank on March 1, replacing Mr Regnier ahead of the TSB deal merger.</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UK bank results came after its Spanish owner Banco Santander announced late on Tuesday a 12.2 billion US dollar (£8.9 billion) deal to buy American rival Webster Bank.</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Banco Santander reported a better-than-expected 7.4% rise in net income to 3.76 billion euro (£3.24 billon) for the fourth quarter, having brought the results forward by a day due to the announcement of the deal.</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Full-year net income rose 12.1% to 12.57 billion euros (£10.83 billion).</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UK bank’s results show the increasing cost to the sector of the motor finance scandal, which saw millions of customers sold car loans with hidden commission.</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Rival Lloyds Banking Group put by another £800 million in its third quarter for the affair, which saw its total bill rise to £1.95 billion.</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Under the Financial Conduct Authority (FCA) redress proposals, about 14 million car finance deals could be eligible for compensation, with people estimated to get an average of £700 per agreement.</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But the regulator’s plans have been met with significant pushback from lenders.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Mr Regnier last year called for the Government to step in, warning the compensation scheme plans could impact the car finance market and wider motor sector, leading to “significant” job cuts.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In its latest results, the bank said that under the current redress scheme plans, there was “an increased possibility that a remedy is sought to be imposed which extends beyond reversing any damaging financial consequences caused by any unfair relationships”.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The FCA is expected to publish the results of its consultation into its proposed compensation scheme in March.</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Santander also revealed in its results that bad debt charges nearly tripled to £193 million last year, and it said they are expected to rise further in 2026 as they trend back towards levels seen before the pandemic.</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lender said it expects a “modest” rise in UK unemployment in 2026 as firms shrink their workforces in response to tax hikes and soaring wage costs.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It is predicting economic growth to slow to 1% this year, down from an expected 1.4% in 2025, while it believes house prices will also rise at a slower pace than in 2025.</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