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eg6mi9d7p7dc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TSB profits surge 20% after cutting costs ahead of £3bn Santander takeover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reported record annual profits for 2025 ahead of the near £3billion takeover by Santander expected later this year.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high street bank said pre-tax profits rose 20.7 per cent to £350.4million for 2025, driven by cutting costs and a 3.6 per cent rise in income.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it had cut operating expenses by 4.4 per cent to £786million to ‘further simplify the business’ before the deal with Santander completes.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But loans to customers fell 0.2 per cent to £36.3billion in a ‘challenging lending market’, while customer deposits were also broadly flat at £35.2billion.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bank's net interest margin – the difference between generated and paid interest– was up from 2.68 per cent in 2024 to 2.89 per cent in 2025.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announced on Thursday that chief executive Marc Armengol will leave TSB for its Spanish owner Sabadell, ahead of the Santander takeover.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Armengol said 2025 was an ‘extraordinary year for TSB’ after a ‘record financial performance.’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Questions remain whether the takeover, which is expected in the first half of this year, will retain TSB’s brand and presence on the high street.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Last week,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Santander announced 44 further branch closures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leaving it with 244 full branches ahead of the TSB deal.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results this week, Santander indicated that 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motor finance scandal continued to hamper its progress 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in the UK, with profit broadly flat at €1.3billion (£1.5bn).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Mike Regnier, chief executive of Santander UK said: 'The most significant change in 2026 is expected to be the acquisition of TSB, for which we hope to receive regulatory approval in the first half of the year.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'This landmark acquisition will create the UK’s third-largest bank by personal current account balances, enhancing the profitability of Santander UK and creating stronger competition and choice for customers.'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TSB is the UK’s eleventh largest mortgage lender and has around 175 branches and employs more than 5,000 people.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mortgage completions increased by 9.5 per cent between 2024 and 2025, while lending increased by 6 per cent.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it warned that consumers ‘remain cautious, yet resilient, in an uncertain economic environment.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‘Unemployment increased in 2025 and economic growth has weakened, but the housing market remains stable and lower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inflation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is expected to pave the way for further base rate cuts in 2026.’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isismoney.co.uk/money/bills/article-12412155/What-inflation-falling-means-yo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