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6iyz534g6ap1" w:id="0"/>
      <w:bookmarkEnd w:id="0"/>
      <w:r w:rsidDel="00000000" w:rsidR="00000000" w:rsidRPr="00000000">
        <w:rPr>
          <w:b w:val="1"/>
          <w:bCs w:val="1"/>
          <w:color w:val="1b1b1b"/>
          <w:sz w:val="90"/>
          <w:szCs w:val="90"/>
          <w:rtl w:val="0"/>
        </w:rPr>
        <w:t xml:space="preserve">Think tank Phoenix Insights rebrands under Standard Life</w:t>
      </w:r>
    </w:p>
    <w:p w:rsidR="00000000" w:rsidDel="00000000" w:rsidP="00000000" w:rsidRDefault="00000000" w:rsidRPr="00000000" w14:paraId="00000002">
      <w:pPr>
        <w:rPr>
          <w:sz w:val="17"/>
          <w:szCs w:val="17"/>
        </w:rPr>
      </w:pP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Phoenix Group’s think-tank, Phoenix Insights, has rebranded as the Standard Life Centre for the Future of Retirement.</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Since its inception in 2021, the firm said Phoenix Insights has been active in driving action for some of the biggest challenges of people living longer.</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It listed actions such as influencing policymakers’ thinking on pensions adequacy and economic inactivity and building partnerships to promote the untapped potential of workers in their 50s and 60s.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With more than half of all defined contribution pension savers retiring between 2025 and 2060 expected to be either not saving enough for retirement, Phoenix said its think-tank will focus on how society can achieve financial security for all in later life.</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Catherine Foot, director of the Standard Life Centre for the Future for Retirement, said: “How we work, save, and retire is changing. That traditional idea of spending decades in full-time employment and then retiring with a comfortable, guaranteed income is no longer going to be a reality for most people.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“There is an under-saving crisis in the UK, and if we don’t act now, we risk millions reaching retirement unable to afford the standard of living they expect.”</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Foot said she was “incredibly proud” of what has been achieved under Phoenix Insights, and said working under the Standard Life brand will “supercharge” its ability to further raise awareness.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“This is particularly important at present following the government’s expected review of retirement adequacy which provides a critical opportunity to reshape our pensions system to better address some of the challenges future retirees are facing,” she added.</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Standard Life Centre for the Future of Retirement will campaign for future generations of retirees to:</w:t>
      </w:r>
    </w:p>
    <w:p w:rsidR="00000000" w:rsidDel="00000000" w:rsidP="00000000" w:rsidRDefault="00000000" w:rsidRPr="00000000" w14:paraId="0000000C">
      <w:pPr>
        <w:numPr>
          <w:ilvl w:val="0"/>
          <w:numId w:val="1"/>
        </w:numPr>
        <w:spacing w:after="0" w:afterAutospacing="0" w:before="280" w:lineRule="auto"/>
        <w:ind w:left="720" w:hanging="360"/>
      </w:pPr>
      <w:r w:rsidDel="00000000" w:rsidR="00000000" w:rsidRPr="00000000">
        <w:rPr>
          <w:color w:val="1b1b1b"/>
          <w:sz w:val="27"/>
          <w:szCs w:val="27"/>
          <w:rtl w:val="0"/>
        </w:rPr>
        <w:t xml:space="preserve">Be included in sufficient and affordable private pension saving ​</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Be supported to make good decisions throughout life about their pension saving and retirement income ​</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Work in good quality, flexible jobs that suit their lives, and able to actively manage their careers​</w:t>
      </w:r>
    </w:p>
    <w:p w:rsidR="00000000" w:rsidDel="00000000" w:rsidP="00000000" w:rsidRDefault="00000000" w:rsidRPr="00000000" w14:paraId="0000000F">
      <w:pPr>
        <w:numPr>
          <w:ilvl w:val="0"/>
          <w:numId w:val="1"/>
        </w:numPr>
        <w:spacing w:after="280" w:before="0" w:beforeAutospacing="0" w:lineRule="auto"/>
        <w:ind w:left="720" w:hanging="360"/>
      </w:pPr>
      <w:r w:rsidDel="00000000" w:rsidR="00000000" w:rsidRPr="00000000">
        <w:rPr>
          <w:color w:val="1b1b1b"/>
          <w:sz w:val="27"/>
          <w:szCs w:val="27"/>
          <w:rtl w:val="0"/>
        </w:rPr>
        <w:t xml:space="preserve">Be protected from poverty with state support through an adequate and sustainable State Pension and benefits system</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Andy Briggs, CEO at Phoenix Group, said: “Standard Life has sought to act as a force for good and to champion the needs of everyday people for over two hundred years.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“And as the engine behind Phoenix’s Group’s 12mn customers, it is in prime position to speak about the challenges everyone faces when it comes to how we work, save and plan for retirement.</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addition of the pioneering think-tank is both a celebration of the milestone and a statement of intent about the brand’s ongoing desire to act as source of innovation and practical support to customers and society alike.”</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Standard Life Centre for the Future of Retirement will launch its first report in June looking at the impact of the government’s industrial strategy on different sectors of the UK workforce.</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It will also explore the potential impact of the FCA’s proposed introduction of targeted support for savers over 45 in July.</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