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gmpwzfxivmn0" w:id="0"/>
      <w:bookmarkEnd w:id="0"/>
      <w:r w:rsidDel="00000000" w:rsidR="00000000" w:rsidRPr="00000000">
        <w:rPr>
          <w:b w:val="1"/>
          <w:bCs w:val="1"/>
          <w:color w:val="1b1b1b"/>
          <w:sz w:val="90"/>
          <w:szCs w:val="90"/>
          <w:rtl w:val="0"/>
        </w:rPr>
        <w:t xml:space="preserve">Standard Life builds momentum in workplace pensions</w:t>
      </w:r>
    </w:p>
    <w:p w:rsidR="00000000" w:rsidDel="00000000" w:rsidP="00000000" w:rsidRDefault="00000000" w:rsidRPr="00000000" w14:paraId="00000002">
      <w:pPr>
        <w:spacing w:after="320" w:before="0" w:lineRule="auto"/>
        <w:rPr>
          <w:color w:val="1b1b1b"/>
          <w:sz w:val="27"/>
          <w:szCs w:val="27"/>
        </w:rPr>
      </w:pPr>
      <w:hyperlink r:id="rId6">
        <w:r w:rsidDel="00000000" w:rsidR="00000000" w:rsidRPr="00000000">
          <w:rPr>
            <w:color w:val="1155cc"/>
            <w:sz w:val="27"/>
            <w:szCs w:val="27"/>
            <w:rtl w:val="0"/>
          </w:rPr>
          <w:t xml:space="preserve">Tom Browne</w:t>
        </w:r>
      </w:hyperlink>
      <w:r w:rsidDel="00000000" w:rsidR="00000000" w:rsidRPr="00000000">
        <w:rPr>
          <w:color w:val="1b1b1b"/>
          <w:sz w:val="27"/>
          <w:szCs w:val="27"/>
          <w:rtl w:val="0"/>
        </w:rPr>
        <w:t xml:space="preserve"> 16 March 2026</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Standard Life reported continued growth across its pensions and retirement businesses in 2025, with strong workplace inflows, rising annuity sales and significant pension risk transfer activity.</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In its full-year results, the provider said its Workplace division delivered net inflows of £5.3bn during the year, unchanged from 2024, supported by £10bn in gross inflows.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New workplace members increased by 14% to 247,000, taking the total number of workplace customers to three million for the first time.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Standard Life said the results reflected “continued execution across all our strategic priorities”, including a focus on customer engagement, distribution and strengthening its position in workplace pensions.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firm added that it expects annual market flows of around £80bn in the pensions and savings market, and intends to consolidate its position as a top-three provider.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It has already secured £1bn of new wins for 2026 and reported a medium-term opportunity pipeline of more than £10bn.</w:t>
      </w:r>
    </w:p>
    <w:p w:rsidR="00000000" w:rsidDel="00000000" w:rsidP="00000000" w:rsidRDefault="00000000" w:rsidRPr="00000000" w14:paraId="00000009">
      <w:pPr>
        <w:spacing w:after="280" w:before="280" w:lineRule="auto"/>
        <w:rPr>
          <w:color w:val="416ed2"/>
          <w:sz w:val="27"/>
          <w:szCs w:val="27"/>
        </w:rPr>
      </w:pPr>
      <w:hyperlink r:id="rId7">
        <w:r w:rsidDel="00000000" w:rsidR="00000000" w:rsidRPr="00000000">
          <w:rPr>
            <w:color w:val="416ed2"/>
            <w:sz w:val="27"/>
            <w:szCs w:val="27"/>
            <w:rtl w:val="0"/>
          </w:rPr>
          <w:t xml:space="preserve">Standard Life unveils ‘affordable’ pensions advice service</w:t>
        </w:r>
      </w:hyperlink>
      <w:r w:rsidDel="00000000" w:rsidR="00000000" w:rsidRPr="00000000">
        <w:rPr>
          <w:rtl w:val="0"/>
        </w:rPr>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Group chief executive Andy Briggs said the results demonstrated “strong progress delivering on our strategic priorities”.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“Our results demonstrate strong progress delivering on our strategic priorities,” he said.</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“Further profitable growth and a strengthened Solvency balance sheet have supported increased shareholder returns and greater financial flexibility for the future, underpinned by the significant and growing levels of excess cash our business generates.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“We are firmly on track to deliver our 2026 financial targets, building momentum by continuing to sharpen our competitive position in one of the world’s most attractive savings and retirement markets.”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Briggs also pointed to the continued momentum of the firm’s workplace proposition.</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“Our Workplace business continued its strong momentum in 2025, delivering net fund flows of £5.3bn,” he said.</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“This is a structurally growing market, and the investment we’ve made in our offer in recent years is paying off. New business and retention remained strong, and our total Workplace customer base reached three million for the first time.”</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In retirement solutions, Standard Life reported £1.2bn in individual annuity premiums written during 2025, up from £1bn the previous year, with market share increasing to 15%.</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Briggs said demand had been supported by the appeal of guaranteed retirement income.</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“Individual annuity sales also grew for the third consecutive year since re-entering the market, supported by customer demand for income certainty and attractive rates.”</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The company also completed £3.9bn of pension risk transfer transactions during the year, including its largest ever deal valued at £1.9bn.</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“The performance reflects the continued confidence from trustees and sponsors in our employer proposition, excellent member experience and competitive pricing,” Briggs said.</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Looking ahead, he said 2026 could prove significant for the pensions sector as a series of policy initiatives take shape.</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“The Pension Schemes Bill will lay the foundations for a move to fewer, larger workplace schemes and creates the potential for greater value for money,” he said.</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He added that the upcoming interim report from the Pensions Commission would provide an opportunity to address under-saving.</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“This is a once in a generation opportunity to ensure we tackle current levels of under-saving and help people to engage with their financial futures.”</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neymarketing.co.uk/author/tom-browne/" TargetMode="External"/><Relationship Id="rId7" Type="http://schemas.openxmlformats.org/officeDocument/2006/relationships/hyperlink" Target="https://www.moneymarketing.co.uk/news/standard-life-unveils-affordable-pensions-advice-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