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before="0" w:line="416.8421052631579" w:lineRule="auto"/>
        <w:rPr>
          <w:color w:val="1a1919"/>
          <w:sz w:val="63"/>
          <w:szCs w:val="63"/>
        </w:rPr>
      </w:pPr>
      <w:bookmarkStart w:colFirst="0" w:colLast="0" w:name="_3v4tugy0xs3j" w:id="0"/>
      <w:bookmarkEnd w:id="0"/>
      <w:r w:rsidDel="00000000" w:rsidR="00000000" w:rsidRPr="00000000">
        <w:rPr>
          <w:color w:val="1a1919"/>
          <w:sz w:val="63"/>
          <w:szCs w:val="63"/>
          <w:rtl w:val="0"/>
        </w:rPr>
        <w:t xml:space="preserve">Standard Life workplace net inflows hit £5.3bn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="310.5882352941177" w:lineRule="auto"/>
        <w:rPr>
          <w:b w:val="1"/>
          <w:bCs w:val="1"/>
          <w:color w:val="4a4a49"/>
        </w:rPr>
      </w:pPr>
      <w:bookmarkStart w:colFirst="0" w:colLast="0" w:name="_fjrv9vj0qxpj" w:id="1"/>
      <w:bookmarkEnd w:id="1"/>
      <w:r w:rsidDel="00000000" w:rsidR="00000000" w:rsidRPr="00000000">
        <w:rPr>
          <w:color w:val="006ebe"/>
          <w:sz w:val="50"/>
          <w:szCs w:val="50"/>
          <w:rtl w:val="0"/>
        </w:rPr>
        <w:t xml:space="preserve">Firm’s full-year results reveal new workplace members were up 14% in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380" w:line="822.8571428571428" w:lineRule="auto"/>
        <w:rPr>
          <w:color w:val="262626"/>
          <w:sz w:val="25"/>
          <w:szCs w:val="25"/>
        </w:rPr>
      </w:pPr>
      <w:bookmarkStart w:colFirst="0" w:colLast="0" w:name="_byp7nfgipznz" w:id="2"/>
      <w:bookmarkEnd w:id="2"/>
      <w:r w:rsidDel="00000000" w:rsidR="00000000" w:rsidRPr="00000000">
        <w:rPr>
          <w:color w:val="262626"/>
          <w:sz w:val="25"/>
          <w:szCs w:val="25"/>
          <w:rtl w:val="0"/>
        </w:rPr>
        <w:t xml:space="preserve">Standard Life has published its full year results for 2025.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80" w:before="380" w:line="480" w:lineRule="auto"/>
        <w:rPr>
          <w:color w:val="1d1d1b"/>
          <w:sz w:val="24"/>
          <w:szCs w:val="24"/>
        </w:rPr>
      </w:pPr>
      <w:r w:rsidDel="00000000" w:rsidR="00000000" w:rsidRPr="00000000">
        <w:rPr>
          <w:color w:val="1d1d1b"/>
          <w:sz w:val="24"/>
          <w:szCs w:val="24"/>
          <w:rtl w:val="0"/>
        </w:rPr>
        <w:t xml:space="preserve">The provider revealed workplace net inflows during 2025 reached £5.3bn, remaining the same as the previous year, with gross inflows up to £10bn from £9.3bn in 2024.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