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ob6g7wtituqm" w:id="0"/>
      <w:bookmarkEnd w:id="0"/>
      <w:r w:rsidDel="00000000" w:rsidR="00000000" w:rsidRPr="00000000">
        <w:rPr>
          <w:b w:val="1"/>
          <w:bCs w:val="1"/>
          <w:color w:val="1b1b1b"/>
          <w:sz w:val="90"/>
          <w:szCs w:val="90"/>
          <w:rtl w:val="0"/>
        </w:rPr>
        <w:t xml:space="preserve">Standard Life aims to tackle £8bn outflows with advice proposition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j4du64c2e33j" w:id="1"/>
      <w:bookmarkEnd w:id="1"/>
      <w:r w:rsidDel="00000000" w:rsidR="00000000" w:rsidRPr="00000000">
        <w:rPr>
          <w:sz w:val="50"/>
          <w:szCs w:val="50"/>
          <w:rtl w:val="0"/>
        </w:rPr>
        <w:t xml:space="preserve">The net outflow figure of £7.8bn is down from £8.6bn in 2024 reflecting ‘retail strategy green shoots’.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Standard Life saw net outflows of £7.8bn in its retail business, but aims to tackle these losses with its newly launched flat-fee advice service.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In its full year results for 2025, the insurer revealed gross inflows for its retail proposition of £7.1bn. The net outflow figure of £7.8bn is down from £8.6bn in 2024 reflecting ‘retail strategy green shoots’.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In October last year, Standard Life launched a flat-fee advice service that will charge clients £1,000 for advice on their pensions. The service is pitched at clients approaching retirement with at least £50,000 in defined contribution pension savings.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Like other providers such as Aviva, who have also launched similar services, Standard Life is seeking to offer advice and targeted support to its pension customers, in order to stop them moving to other providers when they retire.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‘Alongside our newly launched advice proposition, targeted support will enhance our ability to offer timely services to our customers and is very much aligned to our belief that everyone’s journey to and through retirement can be better,’ the group said.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Under CEO Andy Briggs, the strategy at Standard Life represents a shift from being a ‘closed-book consolidator’, to an open growth business focused on workplace and retirement.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In late 2023, Briggs re-entered the individual annuity market.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According to the results, individual annuity sales grew for the third consecutive year since the re-entry, supported by demand for income certainty and high interest rates. The business wrote £1.2bn of premiums and increased its market share to 15% from 8% two years ago.</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Standard Life officially rebranded to Standard Life PLC last week as it seeks to make the brand ‘more relevant for more people’.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results detailed its technology transformation of its operating model with the continuation of its migration to outsourcers TCS Diligenta and Wipro. Standard Life said 75% of its policies are now on new platforms, up from 45% in 2024.</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